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F7E6B" w14:textId="77777777" w:rsidR="00FE35BA" w:rsidRPr="00225FCD" w:rsidRDefault="00FE35BA" w:rsidP="00005F9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F6F6A69" w14:textId="0E139E1E" w:rsidR="0078715A" w:rsidRPr="006B0B33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Obrazloženje </w:t>
      </w:r>
      <w:r w:rsidR="009766D2" w:rsidRPr="006B0B3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Proračuna Općine Bibinje za 20</w:t>
      </w:r>
      <w:r w:rsidR="006B0B33" w:rsidRPr="006B0B3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23</w:t>
      </w:r>
      <w:r w:rsidR="009766D2" w:rsidRPr="006B0B3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. godinu i projekcij</w:t>
      </w:r>
      <w:r w:rsidR="00F75E5F" w:rsidRPr="006B0B3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a</w:t>
      </w:r>
      <w:r w:rsidR="009766D2" w:rsidRPr="006B0B3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za 202</w:t>
      </w:r>
      <w:r w:rsidR="006B0B33" w:rsidRPr="006B0B3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4</w:t>
      </w:r>
      <w:r w:rsidR="009766D2" w:rsidRPr="006B0B3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. i 20</w:t>
      </w:r>
      <w:r w:rsidR="006B0B33" w:rsidRPr="006B0B3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25</w:t>
      </w:r>
      <w:r w:rsidR="009766D2" w:rsidRPr="006B0B3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. godinu </w:t>
      </w:r>
    </w:p>
    <w:p w14:paraId="1051F2D3" w14:textId="77777777" w:rsidR="0078715A" w:rsidRPr="006B0B33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32DD305E" w14:textId="05536D2B" w:rsidR="0078715A" w:rsidRPr="006B0B33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Uvod</w:t>
      </w:r>
    </w:p>
    <w:p w14:paraId="6C8FB0AF" w14:textId="77777777" w:rsidR="00BC1088" w:rsidRPr="006B0B33" w:rsidRDefault="00BC108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120A564B" w14:textId="21DDAFED" w:rsidR="00766636" w:rsidRPr="006B0B33" w:rsidRDefault="00BC108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B0B33">
        <w:rPr>
          <w:rFonts w:ascii="Arial Narrow" w:hAnsi="Arial Narrow"/>
          <w:i/>
          <w:iCs/>
          <w:sz w:val="24"/>
          <w:szCs w:val="24"/>
        </w:rPr>
        <w:t xml:space="preserve">Na osnovi članka </w:t>
      </w:r>
      <w:r w:rsidR="006B0B33" w:rsidRPr="006B0B33">
        <w:rPr>
          <w:rFonts w:ascii="Arial Narrow" w:hAnsi="Arial Narrow"/>
          <w:i/>
          <w:iCs/>
          <w:sz w:val="24"/>
          <w:szCs w:val="24"/>
        </w:rPr>
        <w:t>42</w:t>
      </w:r>
      <w:r w:rsidRPr="006B0B33">
        <w:rPr>
          <w:rFonts w:ascii="Arial Narrow" w:hAnsi="Arial Narrow"/>
          <w:i/>
          <w:iCs/>
          <w:sz w:val="24"/>
          <w:szCs w:val="24"/>
        </w:rPr>
        <w:t xml:space="preserve">. Zakona o proračunu (“Narodne novine” broj </w:t>
      </w:r>
      <w:r w:rsidR="006B0B33" w:rsidRPr="006B0B33">
        <w:rPr>
          <w:rFonts w:ascii="Arial Narrow" w:hAnsi="Arial Narrow"/>
          <w:i/>
          <w:iCs/>
          <w:sz w:val="24"/>
          <w:szCs w:val="24"/>
        </w:rPr>
        <w:t>144/21</w:t>
      </w:r>
      <w:r w:rsidRPr="006B0B33">
        <w:rPr>
          <w:rFonts w:ascii="Arial Narrow" w:hAnsi="Arial Narrow"/>
          <w:i/>
          <w:iCs/>
          <w:sz w:val="24"/>
          <w:szCs w:val="24"/>
        </w:rPr>
        <w:t xml:space="preserve">), Predstavničko tijelo jedinice lokalne i područne (regionalne) samouprave donosi proračun za iduću proračunsku godinu i projekcije proračuna za sljedeće dvije proračunske godine do konca tekuće godine, i to u roku koji omogućuje primjenu proračuna od 1. siječnja godine za koju donosi proračun. Navedenim aktima omogućuje se financiranje poslova, funkcija i programa koji se temeljem posebnih zakona i drugih, na zakonu zasnovanih propisa, financiraju iz javnih prihoda, a radi ostvarivanja javnih interesa i potreba građana. Zakonom o proračunu utvrđen je tijek odvijanja proračunskog procesa. </w:t>
      </w:r>
      <w:r w:rsidR="009A0A63" w:rsidRPr="006B0B33">
        <w:rPr>
          <w:rFonts w:ascii="Arial Narrow" w:hAnsi="Arial Narrow"/>
          <w:i/>
          <w:iCs/>
          <w:sz w:val="24"/>
          <w:szCs w:val="24"/>
        </w:rPr>
        <w:t>Uputu za izradu proračuna jedinica lokalne i područne (regionalne) samouprave za razdoblje 202</w:t>
      </w:r>
      <w:r w:rsidR="006B0B33" w:rsidRPr="006B0B33">
        <w:rPr>
          <w:rFonts w:ascii="Arial Narrow" w:hAnsi="Arial Narrow"/>
          <w:i/>
          <w:iCs/>
          <w:sz w:val="24"/>
          <w:szCs w:val="24"/>
        </w:rPr>
        <w:t>3</w:t>
      </w:r>
      <w:r w:rsidR="009A0A63" w:rsidRPr="006B0B33">
        <w:rPr>
          <w:rFonts w:ascii="Arial Narrow" w:hAnsi="Arial Narrow"/>
          <w:i/>
          <w:iCs/>
          <w:sz w:val="24"/>
          <w:szCs w:val="24"/>
        </w:rPr>
        <w:t>. – 202</w:t>
      </w:r>
      <w:r w:rsidR="006B0B33" w:rsidRPr="006B0B33">
        <w:rPr>
          <w:rFonts w:ascii="Arial Narrow" w:hAnsi="Arial Narrow"/>
          <w:i/>
          <w:iCs/>
          <w:sz w:val="24"/>
          <w:szCs w:val="24"/>
        </w:rPr>
        <w:t>5</w:t>
      </w:r>
      <w:r w:rsidR="009A0A63" w:rsidRPr="006B0B33">
        <w:rPr>
          <w:rFonts w:ascii="Arial Narrow" w:hAnsi="Arial Narrow"/>
          <w:i/>
          <w:iCs/>
          <w:sz w:val="24"/>
          <w:szCs w:val="24"/>
        </w:rPr>
        <w:t>. godine Ministarstvo financija objavilo je u rujnu 202</w:t>
      </w:r>
      <w:r w:rsidR="006B0B33" w:rsidRPr="006B0B33">
        <w:rPr>
          <w:rFonts w:ascii="Arial Narrow" w:hAnsi="Arial Narrow"/>
          <w:i/>
          <w:iCs/>
          <w:sz w:val="24"/>
          <w:szCs w:val="24"/>
        </w:rPr>
        <w:t>2</w:t>
      </w:r>
      <w:r w:rsidR="009A0A63" w:rsidRPr="006B0B33">
        <w:rPr>
          <w:rFonts w:ascii="Arial Narrow" w:hAnsi="Arial Narrow"/>
          <w:i/>
          <w:iCs/>
          <w:sz w:val="24"/>
          <w:szCs w:val="24"/>
        </w:rPr>
        <w:t xml:space="preserve">. godine. </w:t>
      </w:r>
      <w:r w:rsidR="0078715A"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Posebni dio sastoji se od plana rashoda i izdataka proračuna i proračunskih korisnika iskazanih po vrstama, raspoređenih u programe koji se sastoje od aktivnosti i projekata. Financijski plan proračunskih korisnika čine prihodi i primici, te rashodi i izdaci raspoređeni u programe koji se sastoje od aktivnosti i projekata i obuhvaćaju sve izvore financiranja</w:t>
      </w:r>
      <w:r w:rsidRPr="006B0B3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. </w:t>
      </w:r>
      <w:r w:rsidR="0078715A"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Iz navedenog proizlazi obveza uključivanja svih prihoda i primitaka, rashoda i izdataka proračunskih korisnika u proračun JLPRS.</w:t>
      </w:r>
      <w:r w:rsidR="00766636"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8715A"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našem slučaju to bi značilo da je nužno u proračun uključiti </w:t>
      </w:r>
      <w:r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</w:t>
      </w:r>
      <w:r w:rsidR="0078715A"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našeg proračunskog korisnika Dječji vrtić Leptirić sa svojim cje</w:t>
      </w:r>
      <w:r w:rsidR="00BC6344"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lokupnim prihodima i rashodima.</w:t>
      </w:r>
    </w:p>
    <w:p w14:paraId="7BD9D1C9" w14:textId="6E5206C0" w:rsidR="00F75E5F" w:rsidRPr="006B0B33" w:rsidRDefault="00F75E5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BD9E1F8" w14:textId="7D960260" w:rsidR="00F75E5F" w:rsidRPr="006B0B33" w:rsidRDefault="00F75E5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 Općine Bibinje za 202</w:t>
      </w:r>
      <w:r w:rsidR="006B0B33"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i projekcij</w:t>
      </w:r>
      <w:r w:rsidR="009405C8"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6B0B33"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6B0B33"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temelji se na provedbenom programu Općine Bibinje donesen</w:t>
      </w:r>
      <w:r w:rsidR="006524E4"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om </w:t>
      </w:r>
      <w:r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razdoblje 2022. -2025. godine. </w:t>
      </w:r>
      <w:r w:rsidR="00C35E9C"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aktivnosti za</w:t>
      </w:r>
      <w:r w:rsidR="00552C4C" w:rsidRPr="006B0B3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poboljšanje i podizanje kvalitete stanovanja na području Općine Bibinje vrijedi izdvojiti: </w:t>
      </w:r>
    </w:p>
    <w:p w14:paraId="323FD520" w14:textId="55DFFC93" w:rsidR="008C5CC1" w:rsidRPr="006B0B33" w:rsidRDefault="008C5CC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CE965FA" w14:textId="588BF11C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izgradnju </w:t>
      </w:r>
      <w:proofErr w:type="spellStart"/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reciklažnog</w:t>
      </w:r>
      <w:proofErr w:type="spellEnd"/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dvorišta </w:t>
      </w:r>
    </w:p>
    <w:p w14:paraId="5D850599" w14:textId="030506F8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izgradnju nerazvrstanih cesta </w:t>
      </w:r>
    </w:p>
    <w:p w14:paraId="72E9068C" w14:textId="09EA1DC7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izgradnju javne rasvjete i zamjenu dotrajalih rasvjetnih tijela </w:t>
      </w:r>
    </w:p>
    <w:p w14:paraId="75851FED" w14:textId="756CDE75" w:rsidR="008C5CC1" w:rsidRPr="006B0B33" w:rsidRDefault="009A0026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nastavak </w:t>
      </w:r>
      <w:r w:rsidR="008C5CC1"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uređenje obalnog pojasa </w:t>
      </w: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 šetnica </w:t>
      </w:r>
    </w:p>
    <w:p w14:paraId="135177CD" w14:textId="3593A961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stvaranje uvjeta za izgradnju marina </w:t>
      </w:r>
    </w:p>
    <w:p w14:paraId="7CD5CAFF" w14:textId="05E01B2B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uređenje i rekonstrukcija sportsko rekreacijskih terena </w:t>
      </w:r>
    </w:p>
    <w:p w14:paraId="017F00EA" w14:textId="76AAA96B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izgradnja </w:t>
      </w:r>
      <w:proofErr w:type="spellStart"/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trail</w:t>
      </w:r>
      <w:proofErr w:type="spellEnd"/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staza i vidikovaca </w:t>
      </w:r>
    </w:p>
    <w:p w14:paraId="0C3277BE" w14:textId="67736676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nastavak izgradnje kanalizacijske mreže </w:t>
      </w:r>
    </w:p>
    <w:p w14:paraId="512EA5C4" w14:textId="4FFFBD64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rekonstrukcija i izgradnja vodovodne mreže </w:t>
      </w:r>
    </w:p>
    <w:p w14:paraId="211187A3" w14:textId="4DAC1539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rješavanje zemljišnih knjiga </w:t>
      </w:r>
    </w:p>
    <w:p w14:paraId="5DB6FCA1" w14:textId="76C7B500" w:rsidR="009A0026" w:rsidRPr="006B0B33" w:rsidRDefault="009A0026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izrada prometnog elaborata za prometnu regulaciju </w:t>
      </w:r>
    </w:p>
    <w:p w14:paraId="27DC6312" w14:textId="28C0F502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izgradnja i opremanje novog dječjeg vrtića </w:t>
      </w:r>
    </w:p>
    <w:p w14:paraId="0D841DFA" w14:textId="72C5DA8F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financiranje radnih materijala učenicima Osnovne škole Stjepana Radića </w:t>
      </w:r>
    </w:p>
    <w:p w14:paraId="2B5EA6F9" w14:textId="622DAD6B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stipendiranje studenata </w:t>
      </w:r>
    </w:p>
    <w:p w14:paraId="0D62D3B1" w14:textId="6C87C0A0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potpore za novorođenčad </w:t>
      </w:r>
    </w:p>
    <w:p w14:paraId="2EF59B62" w14:textId="35D88104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ulaganje u razvoj turističke djelatnosti </w:t>
      </w:r>
    </w:p>
    <w:p w14:paraId="4DDA36BE" w14:textId="3FA2EABE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širenje Poslovne zone </w:t>
      </w:r>
      <w:proofErr w:type="spellStart"/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Lonići</w:t>
      </w:r>
      <w:proofErr w:type="spellEnd"/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 </w:t>
      </w:r>
    </w:p>
    <w:p w14:paraId="68145B4E" w14:textId="6A1795F6" w:rsidR="008C5CC1" w:rsidRPr="006B0B33" w:rsidRDefault="008C5CC1" w:rsidP="00005F9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 xml:space="preserve">poticanje obiteljskih poljoprivrednih gospodarstva </w:t>
      </w:r>
    </w:p>
    <w:p w14:paraId="4E291A09" w14:textId="77777777" w:rsidR="00BC6344" w:rsidRPr="006B0B33" w:rsidRDefault="00BC6344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74491EE" w14:textId="76EED7EE" w:rsidR="002D2CD7" w:rsidRPr="00F25E1A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F25E1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Prihodi poslovanja</w:t>
      </w:r>
    </w:p>
    <w:p w14:paraId="43DECFB4" w14:textId="77777777" w:rsidR="009766D2" w:rsidRPr="006B0B33" w:rsidRDefault="009766D2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0888297" w14:textId="12B3E0D3" w:rsidR="004A0F4B" w:rsidRPr="00F25E1A" w:rsidRDefault="009766D2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</w:t>
      </w:r>
      <w:r w:rsidR="00B15D9D"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prihodi poslovanja</w:t>
      </w:r>
      <w:r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Proračunu za 202</w:t>
      </w:r>
      <w:r w:rsid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="00E62078"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iznose </w:t>
      </w:r>
      <w:r w:rsidR="00F25E1A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3.534.304,33 eura</w:t>
      </w:r>
      <w:r w:rsidR="0078715A"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6064B"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99,82</w:t>
      </w:r>
      <w:r w:rsidR="0006064B"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% plan</w:t>
      </w:r>
      <w:r w:rsid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06064B"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</w:t>
      </w:r>
      <w:r w:rsid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06064B"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DA639A"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godine. Prihodi poslovanja obuhvaćaju prihode od poreza, pomoći iz inozemstva i od subjekata unutar općeg proračuna. prihodi od imovine, prihodi od upravnih i administrativnih pristojbi, pristojbi po posebnim propisima i naknada, prihodi od prodaje proizvoda i robe te pruženih usluga i prihodi od donacija </w:t>
      </w:r>
      <w:r w:rsidR="00DA639A"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te ostali prihodi. </w:t>
      </w:r>
      <w:r w:rsidR="0006064B"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prihodi poslovanja u projekciji za 202</w:t>
      </w:r>
      <w:r w:rsid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06064B"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3.620.479,13 eura</w:t>
      </w:r>
      <w:r w:rsidR="00DA639A"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</w:t>
      </w:r>
      <w:r w:rsidR="0006064B"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projekcijom za 202</w:t>
      </w:r>
      <w:r w:rsid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06064B"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2.780.416,75 eura</w:t>
      </w:r>
      <w:r w:rsidR="00DA639A" w:rsidRP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F25E1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2023. godini planiramo veće prihode od poreza, pomoći</w:t>
      </w:r>
      <w:r w:rsidR="005B2A65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imovine u odnosu na plan 2022. godine dok smanjenje prihoda poslovanja u odnosu na plan 2022. godine bilježimo kod prihoda od upravnih i administrativnih pristojbi, pristojbi po posebnim propisima i naknada. 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928"/>
        <w:gridCol w:w="3608"/>
        <w:gridCol w:w="1418"/>
        <w:gridCol w:w="1701"/>
        <w:gridCol w:w="1495"/>
      </w:tblGrid>
      <w:tr w:rsidR="00033A93" w:rsidRPr="005B2A65" w14:paraId="2DAFC445" w14:textId="77777777" w:rsidTr="00D30CB5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A03B" w14:textId="77777777" w:rsidR="005B2A65" w:rsidRPr="005B2A65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5B2A6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CA74" w14:textId="77777777" w:rsidR="005B2A65" w:rsidRPr="005B2A65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5B2A65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A7DF" w14:textId="77777777" w:rsidR="005B2A65" w:rsidRPr="00287886" w:rsidRDefault="005B2A65" w:rsidP="005B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E6C8" w14:textId="77777777" w:rsidR="005B2A65" w:rsidRPr="00287886" w:rsidRDefault="005B2A65" w:rsidP="005B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7F85" w14:textId="77777777" w:rsidR="005B2A65" w:rsidRPr="00287886" w:rsidRDefault="005B2A65" w:rsidP="005B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033A93" w:rsidRPr="005B2A65" w14:paraId="15C7EF11" w14:textId="77777777" w:rsidTr="00D30CB5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5253" w14:textId="77777777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0A07" w14:textId="348DFF7F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VRSTA PRIHODA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7A26" w14:textId="77777777" w:rsidR="005B2A65" w:rsidRPr="00287886" w:rsidRDefault="005B2A65" w:rsidP="005B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C1D8" w14:textId="77777777" w:rsidR="005B2A65" w:rsidRPr="00287886" w:rsidRDefault="005B2A65" w:rsidP="005B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6499" w14:textId="77777777" w:rsidR="005B2A65" w:rsidRPr="00287886" w:rsidRDefault="005B2A65" w:rsidP="005B2A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2025</w:t>
            </w:r>
          </w:p>
        </w:tc>
      </w:tr>
      <w:tr w:rsidR="00033A93" w:rsidRPr="005B2A65" w14:paraId="11C51A5B" w14:textId="77777777" w:rsidTr="00D30CB5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22B1C78" w14:textId="77777777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AEFF166" w14:textId="77777777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20CACAD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3.534.304,33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B491B6C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3.620.479,13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EADEF61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2.780.416,75</w:t>
            </w:r>
          </w:p>
        </w:tc>
      </w:tr>
      <w:tr w:rsidR="00033A93" w:rsidRPr="005B2A65" w14:paraId="486EB6EC" w14:textId="77777777" w:rsidTr="00D30CB5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DECA" w14:textId="77777777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BB08" w14:textId="77777777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FEF7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1.162.089,20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A80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1.129.358,29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0236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1.146.061,46</w:t>
            </w:r>
          </w:p>
        </w:tc>
      </w:tr>
      <w:tr w:rsidR="00033A93" w:rsidRPr="005B2A65" w14:paraId="0920AE4F" w14:textId="77777777" w:rsidTr="00D30CB5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4563" w14:textId="77777777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D603" w14:textId="77777777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EBE8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1.373.562,28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13AC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1.480.522,93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902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758.909,02</w:t>
            </w:r>
          </w:p>
        </w:tc>
      </w:tr>
      <w:tr w:rsidR="00033A93" w:rsidRPr="005B2A65" w14:paraId="0D674E25" w14:textId="77777777" w:rsidTr="00D30CB5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B23D" w14:textId="77777777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A813" w14:textId="77777777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B98B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210.027,19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DEC3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228.608,40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D3CE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228.608,38</w:t>
            </w:r>
          </w:p>
        </w:tc>
      </w:tr>
      <w:tr w:rsidR="00033A93" w:rsidRPr="005B2A65" w14:paraId="08914C00" w14:textId="77777777" w:rsidTr="00D30CB5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9FC8" w14:textId="77777777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9A4B" w14:textId="77777777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F288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779.335,06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2998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770.044,46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6C0E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634.892,83</w:t>
            </w:r>
          </w:p>
        </w:tc>
      </w:tr>
      <w:tr w:rsidR="00033A93" w:rsidRPr="005B2A65" w14:paraId="091BAC3B" w14:textId="77777777" w:rsidTr="00D30CB5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59AA" w14:textId="77777777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BB68" w14:textId="77777777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46CC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7.963,37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490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10.617,82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B17C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10.617,83</w:t>
            </w:r>
          </w:p>
        </w:tc>
      </w:tr>
      <w:tr w:rsidR="00033A93" w:rsidRPr="005B2A65" w14:paraId="1D34B0E0" w14:textId="77777777" w:rsidTr="00D30CB5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002B" w14:textId="77777777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35F6" w14:textId="77777777" w:rsidR="005B2A65" w:rsidRPr="00287886" w:rsidRDefault="005B2A65" w:rsidP="005B2A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C4A7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33E8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FADC" w14:textId="77777777" w:rsidR="005B2A65" w:rsidRPr="00287886" w:rsidRDefault="005B2A65" w:rsidP="005B2A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1.327,23</w:t>
            </w:r>
          </w:p>
        </w:tc>
      </w:tr>
    </w:tbl>
    <w:p w14:paraId="5A418487" w14:textId="390575E5" w:rsidR="00AA636D" w:rsidRPr="006B0B33" w:rsidRDefault="00AA636D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32C542B" w14:textId="7520ED64" w:rsidR="0054191C" w:rsidRPr="00033A93" w:rsidRDefault="0006064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33A9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poreza – 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F06060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F06060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7F4DB1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1.162.089,20 eura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F4DB1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više za </w:t>
      </w:r>
      <w:r w:rsid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5,46</w:t>
      </w:r>
      <w:r w:rsidR="007F4DB1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% u odnosu na plan 202</w:t>
      </w:r>
      <w:r w:rsid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7F4DB1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godine 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1.129.358,29 eura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="00C17C32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je iznos od </w:t>
      </w:r>
      <w:r w:rsid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1.146.061,46 eura</w:t>
      </w:r>
      <w:r w:rsidR="00C17C32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se odnosi na 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povećanje prihoda od poreza i prireza na dohodak. </w:t>
      </w:r>
    </w:p>
    <w:p w14:paraId="43BB46B8" w14:textId="4AE80865" w:rsidR="0054191C" w:rsidRPr="00033A93" w:rsidRDefault="0054191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33A9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</w:t>
      </w:r>
      <w:r w:rsidR="00C17C32" w:rsidRPr="00033A9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od poreza</w:t>
      </w:r>
      <w:r w:rsidRPr="00033A9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i prireza</w:t>
      </w:r>
      <w:r w:rsidR="00C17C32" w:rsidRPr="00033A9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na dohodak</w:t>
      </w:r>
      <w:r w:rsidR="00C17C32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Proračunu za 202</w:t>
      </w:r>
      <w:r w:rsid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C17C32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757.284,63</w:t>
      </w:r>
      <w:r w:rsidR="00C17C32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eura.</w:t>
      </w:r>
      <w:r w:rsidR="00C17C32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Zbog popuštanja epidemioloških mjera planira se bolja naplata poreza na dohodak u odnosu na 202</w:t>
      </w:r>
      <w:r w:rsid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u kojoj je porez i prirez na dohodak bio planiran u manjem iznosu zbog ograničavanja rada poduzetnika. </w:t>
      </w:r>
    </w:p>
    <w:p w14:paraId="48AB71C2" w14:textId="441049C3" w:rsidR="00DA639A" w:rsidRPr="00033A93" w:rsidRDefault="0001067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33A9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Porezi na imovinu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DA639A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33A93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384.896,15 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odnose se na prihode od poreza na kuće za odmor </w:t>
      </w:r>
      <w:r w:rsidR="00033A93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79.633,69 eura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poreza na promet nekretnina </w:t>
      </w:r>
      <w:r w:rsidR="00033A93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305.262,46 eura.</w:t>
      </w:r>
    </w:p>
    <w:p w14:paraId="134C9317" w14:textId="6D07BD18" w:rsidR="0006064B" w:rsidRPr="00033A93" w:rsidRDefault="001C5A85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33A9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Porezi na robu i usluge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od </w:t>
      </w:r>
      <w:r w:rsid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19.908,42 eura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odnose se na prihode od poreza na potrošnju alkoholnih i bezalkoholnih pića u iznosu</w:t>
      </w:r>
      <w:r w:rsidR="00DA639A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19.908,42 eura. </w:t>
      </w:r>
      <w:r w:rsidR="00DA639A" w:rsidRPr="00033A9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5D5F7F24" w14:textId="77777777" w:rsidR="00DA639A" w:rsidRPr="006B0B33" w:rsidRDefault="00DA639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7F890F7" w14:textId="733D7B1F" w:rsidR="003E3B9F" w:rsidRPr="005C3ADE" w:rsidRDefault="001C5A85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5C3AD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pomoći iz inozemstva i od subjekata unutar općeg proračuna – 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="00F06060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planirani su</w:t>
      </w:r>
      <w:r w:rsidR="00DC100A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</w:t>
      </w:r>
      <w:r w:rsidR="00F06060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iznos</w:t>
      </w:r>
      <w:r w:rsidR="00F06060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="00DC100A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1.373.562,28 eura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1.480.522,93 eura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758.909,02 eura.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956A13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Razlog 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56A13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povećanje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pomoći u 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planu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odnosu na plan 202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godine </w:t>
      </w:r>
      <w:r w:rsidR="00956A13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je sufinanciranje izgradnje i opremanje dječjeg vrtića iz fondova EU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projekciji za 2025. godinu bilježimo razvidno smanjenje a razlog je završetak projekata financiranih iz EU fondova. </w:t>
      </w:r>
    </w:p>
    <w:p w14:paraId="73EFB153" w14:textId="24FAF178" w:rsidR="003E3B9F" w:rsidRPr="006B0B33" w:rsidRDefault="00956A1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6B0B33">
        <w:rPr>
          <w:rFonts w:ascii="Arial Narrow" w:eastAsia="Times New Roman" w:hAnsi="Arial Narrow" w:cs="Times New Roman"/>
          <w:b/>
          <w:bCs/>
          <w:i/>
          <w:iCs/>
          <w:color w:val="FF0000"/>
          <w:sz w:val="24"/>
          <w:szCs w:val="24"/>
          <w:lang w:eastAsia="hr-HR"/>
        </w:rPr>
        <w:t xml:space="preserve"> </w:t>
      </w:r>
      <w:r w:rsidRPr="005C3AD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Pomoći proračunu iz drugih proračuna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planirane su u iznosu </w:t>
      </w:r>
      <w:r w:rsidR="003E3B9F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655.931,48 eura. 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Prihodi od pomoći iz drugih proračuna odnose</w:t>
      </w:r>
      <w:r w:rsidR="004D007B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 </w:t>
      </w:r>
      <w:r w:rsidR="003E3B9F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pomoći fiskalnog izravnanja u iznosu od 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517.618,95 eura,</w:t>
      </w:r>
      <w:r w:rsidR="003E3B9F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sufinanciranje projekata Ispunjenije djetinjstvo u iznosu 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21.947,04 eura</w:t>
      </w:r>
      <w:r w:rsidR="003E3B9F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Podrškom za njih u iznosu 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8.769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36 eura,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Društveni centar Bibinje 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11.372,09 eura</w:t>
      </w:r>
      <w:r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4F0F43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tekuće pomoći županijskog proračuna za naknadu za ogrjev 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2.654.46 eura</w:t>
      </w:r>
      <w:r w:rsidR="004F0F43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E3B9F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="004F0F43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sufinanciranje kulturnih programa u iznosu 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663,61 eura</w:t>
      </w:r>
      <w:r w:rsidR="004F0F43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Kapitalne pomoći 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 državnog proračuna </w:t>
      </w:r>
      <w:r w:rsidR="004F0F43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iznose 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79.633,69 eura</w:t>
      </w:r>
      <w:r w:rsidR="003E3B9F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F0F43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odnose se na </w:t>
      </w:r>
      <w:r w:rsidR="003E3B9F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rekonstrukciju obalnog pojasa</w:t>
      </w:r>
      <w:r w:rsidR="00331368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E3B9F" w:rsidRP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izgradnju pomoćnog igrališt</w:t>
      </w:r>
      <w:r w:rsidR="005C3AD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a. Kapitalne pomoći iz županijskog proračuna iznose 13.272,28 eura a odnose na </w:t>
      </w:r>
      <w:r w:rsid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izgradnju pomoćnog igrališta. </w:t>
      </w:r>
      <w:r w:rsidR="003E3B9F" w:rsidRPr="006B0B33"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  <w:t xml:space="preserve">. </w:t>
      </w:r>
    </w:p>
    <w:p w14:paraId="027FC89D" w14:textId="7AE7E664" w:rsidR="003E3B9F" w:rsidRPr="00FE3F4D" w:rsidRDefault="004F0F4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E3F4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Tekuće pomoći izravnanja za decentralizirane funkcije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3E3B9F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79.368,24 eura</w:t>
      </w:r>
      <w:r w:rsidR="003E3B9F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na pomoći iz države za zadovoljavanje </w:t>
      </w:r>
      <w:r w:rsidR="004D007B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visine bilančnih prava u decentralizaciji JVP Zadar. </w:t>
      </w:r>
    </w:p>
    <w:p w14:paraId="6F93421B" w14:textId="21A5189C" w:rsidR="007F4DB1" w:rsidRPr="00FE3F4D" w:rsidRDefault="004D007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E3F4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Tekuće pomoći proračunskim korisnicima iz proračuna koji im nije nadležan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iznose </w:t>
      </w:r>
      <w:r w:rsid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1.592,67 eura</w:t>
      </w:r>
      <w:r w:rsidR="007F4DB1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prihod su proračunskog korisnika DV Leptirići. </w:t>
      </w:r>
    </w:p>
    <w:p w14:paraId="68A91A93" w14:textId="17958007" w:rsidR="0006064B" w:rsidRPr="00FE3F4D" w:rsidRDefault="004D007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E3F4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lastRenderedPageBreak/>
        <w:t>Pomoći temeljem prijenosa EU sredstava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iznose </w:t>
      </w:r>
      <w:r w:rsid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636.669,89 eura </w:t>
      </w:r>
      <w:r w:rsidR="007F4DB1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odnose se na tekuće pomoći za projekate Ispunjenije djetinjstvo u iznosu </w:t>
      </w:r>
      <w:r w:rsidR="007F4DB1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124.366,58 eura</w:t>
      </w:r>
      <w:r w:rsidR="007F4DB1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Podrškom za njih u iznosu</w:t>
      </w:r>
      <w:r w:rsidR="007F4DB1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49.693,05 eura, 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Društveni centar Bibinje </w:t>
      </w:r>
      <w:r w:rsid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64.441,83 eura</w:t>
      </w:r>
      <w:r w:rsidR="007F4DB1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kapitalnih pomoći za </w:t>
      </w:r>
      <w:r w:rsidR="005207E9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izgradnju i opremanje dječjeg vrtića u iznosu </w:t>
      </w:r>
      <w:r w:rsid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398.168,43 eura</w:t>
      </w:r>
      <w:r w:rsidR="007F4DB1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5207E9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7EA3F611" w14:textId="77777777" w:rsidR="007F4DB1" w:rsidRPr="006B0B33" w:rsidRDefault="007F4DB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6D96CEB" w14:textId="0FBB936A" w:rsidR="004479AF" w:rsidRPr="00FE3F4D" w:rsidRDefault="004479AF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E3F4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od imovine –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Proračunu za 202</w:t>
      </w:r>
      <w:r w:rsid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F06060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F06060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96FAE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210.027,19 eura</w:t>
      </w:r>
      <w:r w:rsidR="00596FAE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331368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D6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331368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202</w:t>
      </w:r>
      <w:r w:rsidR="00D6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331368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planiran iznos od </w:t>
      </w:r>
      <w:r w:rsidR="00D6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228.608,38 eura</w:t>
      </w:r>
      <w:r w:rsidR="00331368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od financijske imovine iznose </w:t>
      </w:r>
      <w:r w:rsidR="00D6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19.954,87 eura</w:t>
      </w:r>
      <w:r w:rsidR="00596FAE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prihode od kamata</w:t>
      </w:r>
      <w:r w:rsidR="00D6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od nefinancijske imovine iznose </w:t>
      </w:r>
      <w:r w:rsidR="00D6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190.072,32 eura</w:t>
      </w:r>
      <w:r w:rsidR="00A762C1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prihode od koncesija u iznosu </w:t>
      </w:r>
      <w:r w:rsidR="00D6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92.905,96 eura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prihodi od zakupa </w:t>
      </w:r>
      <w:r w:rsidR="00D6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33.180,70 eura</w:t>
      </w:r>
      <w:r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F06060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naknada za korištenje nefinancijske imovine u iznosu </w:t>
      </w:r>
      <w:r w:rsidR="00D6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54,695,06</w:t>
      </w:r>
      <w:r w:rsidR="00F06060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ostalih prihoda od nefinancijske imovine u iznosu </w:t>
      </w:r>
      <w:r w:rsidR="00D6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9.290,60 eura</w:t>
      </w:r>
      <w:r w:rsidR="00F06060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A762C1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U projekcijama za 20</w:t>
      </w:r>
      <w:r w:rsidR="00D6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24</w:t>
      </w:r>
      <w:r w:rsidR="00A762C1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D6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A762C1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="00D6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kod </w:t>
      </w:r>
      <w:r w:rsidR="00A762C1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prihod</w:t>
      </w:r>
      <w:r w:rsidR="00D6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="00A762C1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nefinancijske imovine </w:t>
      </w:r>
      <w:r w:rsidR="00D6328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bilježimo povećanje zbog planiranog  davanja u zakup novih poslovnih prostora. </w:t>
      </w:r>
      <w:r w:rsidR="00A762C1" w:rsidRPr="00FE3F4D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6272080E" w14:textId="5FD6E652" w:rsidR="00596FAE" w:rsidRPr="00475B22" w:rsidRDefault="00F0606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75B2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upravnih i administrativnih pristojbi, pristojbi po posebnim propisima i naknada – 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2C4F6A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planiraju se u 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</w:t>
      </w:r>
      <w:r w:rsidR="002C4F6A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779.335,06 eura</w:t>
      </w:r>
      <w:r w:rsidR="006E2159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770.044,46 eura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634.892,83 eura</w:t>
      </w:r>
      <w:r w:rsidR="006E2159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Smanjenje</w:t>
      </w:r>
      <w:r w:rsidR="006E2159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ovih prihoda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odnosu na plan 2022. godine </w:t>
      </w:r>
      <w:r w:rsidR="006E2159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odnosi se na prihode od sufinanciranje katastarske izmjere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koja će se naplatiti kroz tri proračunske godine i prihode od sufinanciranje priključka električne energije u PZ </w:t>
      </w:r>
      <w:proofErr w:type="spellStart"/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 </w:t>
      </w:r>
      <w:r w:rsidR="006E2159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24B8A92B" w14:textId="78B57A6B" w:rsidR="00596FAE" w:rsidRPr="00475B22" w:rsidRDefault="00F0606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75B2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od upravnih i administrativnih pristojbi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 iznosu </w:t>
      </w:r>
      <w:r w:rsidR="00596FAE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33.446,15 eura 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prihode od prodaje državnog biljega u iznosu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265,45 eura</w:t>
      </w:r>
      <w:r w:rsidR="00596FAE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prihoda od turističke pristojbe u iznosu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33.180,70 eura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3167CA35" w14:textId="07F49F4C" w:rsidR="00596FAE" w:rsidRPr="00475B22" w:rsidRDefault="00F0606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75B2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Prihodi po posebnim propisima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596FAE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168.544,70 eura 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odnose na prihode od vodnog doprinosa u iznosu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2.654,46 eura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prihoda od sufinanciranje katastarske izmjere u iznosu</w:t>
      </w:r>
      <w:r w:rsidR="00596FAE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145.995,09 eura i </w:t>
      </w:r>
      <w:r w:rsidR="00FB4A5C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prihoda po posebnim propisima DV Leptirići u iznosu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19.895,15 eura</w:t>
      </w:r>
      <w:r w:rsidR="00FB4A5C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4D464F9A" w14:textId="3A02C9EB" w:rsidR="00F06060" w:rsidRDefault="00FB4A5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75B2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Komunalni doprinosi i naknade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577.344,21 eura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čega je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364.987,72 eura </w:t>
      </w:r>
      <w:r w:rsidR="00596FAE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komunalni doprinos te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212.356,49 eura 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komunalna naknada. </w:t>
      </w:r>
    </w:p>
    <w:p w14:paraId="180916D0" w14:textId="77777777" w:rsidR="00475B22" w:rsidRPr="00475B22" w:rsidRDefault="00475B22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4282575C" w14:textId="5E1F46CE" w:rsidR="002C4F6A" w:rsidRPr="00475B22" w:rsidRDefault="002C4F6A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75B2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Prihodi od prodaje proizvoda i robe te pruženih usluga i prihoda od donacija - 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3. 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planiraju se u iznosu </w:t>
      </w:r>
      <w:r w:rsidR="006E2159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7.963,37 eura</w:t>
      </w:r>
      <w:r w:rsidR="006E2159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</w:t>
      </w:r>
      <w:r w:rsidR="006E2159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</w:t>
      </w:r>
      <w:r w:rsidR="006E2159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projekcij</w:t>
      </w:r>
      <w:r w:rsidR="006E2159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6E2159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202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6E2159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 iznos od 10.617,82 eura</w:t>
      </w:r>
      <w:r w:rsidR="006E2159"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prihodi od pruženih usluga iznose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6.636,14 eura 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odnose se na prihode od Hrvatski voda za naplatu naknade za uređenje voda. Donacije od pravnih i fizičkih osoba izvan općeg proračuna planirane su u iznosu </w:t>
      </w:r>
      <w:r w:rsid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1.327,23 eura </w:t>
      </w:r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na donacije za organizaciju manifestacije </w:t>
      </w:r>
      <w:proofErr w:type="spellStart"/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Raspivano</w:t>
      </w:r>
      <w:proofErr w:type="spellEnd"/>
      <w:r w:rsidRPr="00475B22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Bibinje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228E409C" w14:textId="115B837C" w:rsidR="005207E9" w:rsidRPr="003204AF" w:rsidRDefault="002C4F6A" w:rsidP="00005F96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3204A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Kazne, upravne mjere i ostali prihodi -  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u iznosu 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1.327,23 eura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6E2159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i za 202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  <w:r w:rsidR="00E62078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prihodi odnose na prihode od troškova ovrha, </w:t>
      </w:r>
      <w:proofErr w:type="spellStart"/>
      <w:r w:rsidR="00E62078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prefakturiranjan</w:t>
      </w:r>
      <w:proofErr w:type="spellEnd"/>
      <w:r w:rsidR="00E62078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kazni. </w:t>
      </w:r>
    </w:p>
    <w:p w14:paraId="79665B57" w14:textId="67C0F6EB" w:rsidR="006330EC" w:rsidRPr="003204AF" w:rsidRDefault="006330E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204A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Prihodi od prodaje nefinancijske imovine</w:t>
      </w:r>
      <w:r w:rsidR="00E62078" w:rsidRPr="003204A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- </w:t>
      </w:r>
      <w:r w:rsidR="00E62078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E20939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E62078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planiraju se u iznosu</w:t>
      </w:r>
      <w:r w:rsidR="00E20939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="00E62078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76.979,23 eura</w:t>
      </w:r>
      <w:r w:rsidR="006E2159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62078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E2159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nominalno smanjenje od 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156.612,91</w:t>
      </w:r>
      <w:r w:rsidR="006E2159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eura </w:t>
      </w:r>
      <w:r w:rsidR="006E2159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odnosu na plan 202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6E2159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godine </w:t>
      </w:r>
      <w:r w:rsidR="00E62078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E62078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345.079,30 eura</w:t>
      </w:r>
      <w:r w:rsidR="00E62078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E62078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427.254,63 eura</w:t>
      </w:r>
      <w:r w:rsidR="00E62078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Planirani prihodi odnose se na prihode od prodaje zemljišta u PZ </w:t>
      </w:r>
      <w:proofErr w:type="spellStart"/>
      <w:r w:rsidR="00E62078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E62078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6E2159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Rezultat razvidnog smanjenja ovih prihoda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2023. godini</w:t>
      </w:r>
      <w:r w:rsidR="006E2159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su prodana zemljišta u PZ </w:t>
      </w:r>
      <w:proofErr w:type="spellStart"/>
      <w:r w:rsidR="006E2159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E2159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se projekcijama planira proširiti PZ </w:t>
      </w:r>
      <w:proofErr w:type="spellStart"/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je planirana nova prodaja zemljišta. </w:t>
      </w:r>
    </w:p>
    <w:p w14:paraId="7EBC5F23" w14:textId="1B9AB81B" w:rsidR="00A71128" w:rsidRPr="006B0B33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ACE1DB6" w14:textId="77777777" w:rsidR="00A71128" w:rsidRPr="003204AF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3204A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Primici za financijsku imovinu</w:t>
      </w:r>
    </w:p>
    <w:p w14:paraId="705692A0" w14:textId="77777777" w:rsidR="00A71128" w:rsidRPr="003204AF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4443F737" w14:textId="09D3B1E2" w:rsidR="00A71128" w:rsidRPr="003204AF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planirani su primici u iznosu od 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1.060.455,24 eura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primitke od kratkoročnog zaduživanja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premošćivanje jaza u iznosu od 131.395,58 eura i dugoročnog zaduživanja za financiranje izgradnje dječjeg vrtića u iznosu od 929.059,66 eura.  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projekciji za 202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godinu planiraju se primici od 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1.105.580,99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ne 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planiraju se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primici. 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primici 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projekciji za 2024. godinu 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odnose na dugoročno zaduživanje za izgradnju 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opremanje dječjeg 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vrtića te izgradnju Poslovne zone </w:t>
      </w:r>
      <w:proofErr w:type="spellStart"/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199596FD" w14:textId="77777777" w:rsidR="00A71128" w:rsidRPr="006B0B33" w:rsidRDefault="00A7112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17D9F681" w14:textId="45A96D6F" w:rsidR="006330EC" w:rsidRPr="006B0B33" w:rsidRDefault="006330E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CD97EA6" w14:textId="15D277AE" w:rsidR="00B7759D" w:rsidRPr="003204AF" w:rsidRDefault="00B7759D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 </w:t>
      </w:r>
      <w:r w:rsidR="00F3382F"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PRIMICI </w:t>
      </w:r>
      <w:r w:rsidRPr="003204A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 IZVORIMA FINANCIRANJA </w:t>
      </w:r>
    </w:p>
    <w:p w14:paraId="0FD80236" w14:textId="77777777" w:rsidR="00B7759D" w:rsidRPr="006B0B33" w:rsidRDefault="00B7759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1487"/>
        <w:gridCol w:w="3046"/>
        <w:gridCol w:w="1563"/>
        <w:gridCol w:w="1590"/>
        <w:gridCol w:w="1528"/>
      </w:tblGrid>
      <w:tr w:rsidR="00EE0130" w:rsidRPr="003204AF" w14:paraId="31A68CED" w14:textId="77777777" w:rsidTr="00EE0130">
        <w:trPr>
          <w:trHeight w:val="255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E99C" w14:textId="77777777" w:rsidR="003204AF" w:rsidRPr="003204AF" w:rsidRDefault="003204AF" w:rsidP="0032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BE51" w14:textId="77777777" w:rsidR="003204AF" w:rsidRPr="003204AF" w:rsidRDefault="003204AF" w:rsidP="00320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0F8D" w14:textId="77777777" w:rsidR="003204AF" w:rsidRPr="003204AF" w:rsidRDefault="003204AF" w:rsidP="00320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842A" w14:textId="77777777" w:rsidR="003204AF" w:rsidRPr="003204AF" w:rsidRDefault="003204AF" w:rsidP="00320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277D" w14:textId="77777777" w:rsidR="003204AF" w:rsidRPr="003204AF" w:rsidRDefault="003204AF" w:rsidP="00320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EE0130" w:rsidRPr="003204AF" w14:paraId="0C09A4B2" w14:textId="77777777" w:rsidTr="00EE0130">
        <w:trPr>
          <w:trHeight w:val="255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2182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ŠIFRA IZVORA 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6806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VRSTRA IZVORA FINANCIRANJA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61F5" w14:textId="77777777" w:rsidR="003204AF" w:rsidRPr="003204AF" w:rsidRDefault="003204AF" w:rsidP="00320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BB30" w14:textId="77777777" w:rsidR="003204AF" w:rsidRPr="003204AF" w:rsidRDefault="003204AF" w:rsidP="00320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E957" w14:textId="77777777" w:rsidR="003204AF" w:rsidRPr="003204AF" w:rsidRDefault="003204AF" w:rsidP="003204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2025</w:t>
            </w:r>
          </w:p>
        </w:tc>
      </w:tr>
      <w:tr w:rsidR="00EE0130" w:rsidRPr="003204AF" w14:paraId="50778645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FE54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PRIHODI / PRIMICI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C929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4.671.738,80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1245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5.071.139,38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BBE2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3.207.671,38</w:t>
            </w:r>
          </w:p>
        </w:tc>
      </w:tr>
      <w:tr w:rsidR="00EE0130" w:rsidRPr="003204AF" w14:paraId="155E8AEA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66F59D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Izvor 1. OPĆI PRIHODI I PRIMICI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E934C4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2.086.404,01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9A2DE7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1.891.751,27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DFC392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1.775.731,64</w:t>
            </w:r>
          </w:p>
        </w:tc>
      </w:tr>
      <w:tr w:rsidR="00EE0130" w:rsidRPr="003204AF" w14:paraId="13D1F002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03E26F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1.1. OPĆI PRIHODI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12BBB4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2.086.404,01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B7BA23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1.891.751,27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6CB112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1.775.731,64</w:t>
            </w:r>
          </w:p>
        </w:tc>
      </w:tr>
      <w:tr w:rsidR="00EE0130" w:rsidRPr="003204AF" w14:paraId="227A14CB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F148ED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Izvor 3. VLASTITI PRIHODI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87A1E2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5A499F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C72F9C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53.314,75</w:t>
            </w:r>
          </w:p>
        </w:tc>
      </w:tr>
      <w:tr w:rsidR="00EE0130" w:rsidRPr="003204AF" w14:paraId="75281E91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7C6E29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3.1. VLASTITI PRIHODI PRORAČUNSKIH KORISNIKA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9B0080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6EEDAA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A07152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53.314,75</w:t>
            </w:r>
          </w:p>
        </w:tc>
      </w:tr>
      <w:tr w:rsidR="00EE0130" w:rsidRPr="003204AF" w14:paraId="20BC89CF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29A154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Izvor 4. PRIHODI ZA POSEBNE NAMJENE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1EE8B6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702.116,92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D255C1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691.499,09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30731B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602.574,82</w:t>
            </w:r>
          </w:p>
        </w:tc>
      </w:tr>
      <w:tr w:rsidR="00EE0130" w:rsidRPr="003204AF" w14:paraId="37E62B57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FF8A1C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4.1. NAKNADA ZA ZADRŽAVANJE NEZ. IZG. ZGRADA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62520E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F29C8E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5.308,91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6CD9A4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5.308,91</w:t>
            </w:r>
          </w:p>
        </w:tc>
      </w:tr>
      <w:tr w:rsidR="00EE0130" w:rsidRPr="003204AF" w14:paraId="6AFF86E1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197C61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4.2. KOMUNALNI DOPRINOS I NAKNADA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C54B90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577.344,21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F0A13E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548.145,19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667766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472.493,20</w:t>
            </w:r>
          </w:p>
        </w:tc>
      </w:tr>
      <w:tr w:rsidR="00EE0130" w:rsidRPr="003204AF" w14:paraId="2E6F02D9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E64545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4.3. OSTALI PRIHODI ZA POSEBNE NAMJENE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FC58B0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118.136,57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E30BA3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138.044,99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4252CA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124.772,71</w:t>
            </w:r>
          </w:p>
        </w:tc>
      </w:tr>
      <w:tr w:rsidR="00EE0130" w:rsidRPr="003204AF" w14:paraId="0A4BF426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CD1539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B4161C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855.943,33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C0E0F4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1.015.993,08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82ADA2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347.468,31</w:t>
            </w:r>
          </w:p>
        </w:tc>
      </w:tr>
      <w:tr w:rsidR="00EE0130" w:rsidRPr="003204AF" w14:paraId="6ACEC2CA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E2168C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5.1. TEKUĆE POMOĆI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87A9F0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126.367,47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8F350E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84.278,98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F31DE5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88.658,84</w:t>
            </w:r>
          </w:p>
        </w:tc>
      </w:tr>
      <w:tr w:rsidR="00EE0130" w:rsidRPr="003204AF" w14:paraId="2A5C4D2F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13AF1B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5.2. KAPITALNE POMOĆI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314BB1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92.905,97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319793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0A6D0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39.816,84</w:t>
            </w:r>
          </w:p>
        </w:tc>
      </w:tr>
      <w:tr w:rsidR="00EE0130" w:rsidRPr="003204AF" w14:paraId="3FEF1E20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09D2D3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5.3. POMOĆI OD IZVANPRORAČUNSKIH KORISNIKA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E9BED2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4A53C8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7D0328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145.995,09</w:t>
            </w:r>
          </w:p>
        </w:tc>
      </w:tr>
      <w:tr w:rsidR="00EE0130" w:rsidRPr="003204AF" w14:paraId="56CF40F1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63908F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5.4. POMOĆI TEMELJEM PRIJENOSA EU SREDSTAVA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AD9D1C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636.669,89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7108DF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852.080,42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6E3AB7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72.997,54</w:t>
            </w:r>
          </w:p>
        </w:tc>
      </w:tr>
      <w:tr w:rsidR="00EE0130" w:rsidRPr="003204AF" w14:paraId="1D47661D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FB3BCF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5.5. REFUNDACIJA POMOĆI IZ PRETHODNIH GODINA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32615F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CE45F1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5DEC84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EE0130" w:rsidRPr="003204AF" w14:paraId="109FE08E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251810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18FA20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406F12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F1F063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1.327,23</w:t>
            </w:r>
          </w:p>
        </w:tc>
      </w:tr>
      <w:tr w:rsidR="00EE0130" w:rsidRPr="003204AF" w14:paraId="69BC0BC7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767236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6.1. TEKUĆE DONACIJE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087E86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EAACA7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EE5190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1.327,23</w:t>
            </w:r>
          </w:p>
        </w:tc>
      </w:tr>
      <w:tr w:rsidR="00EE0130" w:rsidRPr="003204AF" w14:paraId="7884EE51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1CC4E8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Izvor 7. PRIHODI OD PRODAJE ILI ZAMJENE NEFINANCIJSKE IMOVINE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BADC89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76.979,23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AB4F1B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345.079,30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06A8C1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427.254,63</w:t>
            </w:r>
          </w:p>
        </w:tc>
      </w:tr>
      <w:tr w:rsidR="00EE0130" w:rsidRPr="003204AF" w14:paraId="1DE3DF0D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B7A385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7.1. PRIHODI OD PRODAJE NEPROIZVEDENE DUG. IMOVINE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08F62B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76.979,23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882B9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345.079,30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1BC867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427.254,63</w:t>
            </w:r>
          </w:p>
        </w:tc>
      </w:tr>
      <w:tr w:rsidR="00EE0130" w:rsidRPr="003204AF" w14:paraId="725944D7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F0C213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8. NAMJENSKI PRIMICI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523044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929.059,66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12609E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1.105.580,99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1164EA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E0130" w:rsidRPr="003204AF" w14:paraId="3E828FFD" w14:textId="77777777" w:rsidTr="00EE0130">
        <w:trPr>
          <w:trHeight w:val="255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B2D23B" w14:textId="77777777" w:rsidR="003204AF" w:rsidRPr="003204AF" w:rsidRDefault="003204AF" w:rsidP="00320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8.1. NAMJENSKI PRIMICI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381174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929.059,66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0257D2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1.105.580,99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EFF47A" w14:textId="77777777" w:rsidR="003204AF" w:rsidRPr="003204AF" w:rsidRDefault="003204AF" w:rsidP="003204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204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00B8A8B6" w14:textId="1DF2AEF2" w:rsidR="00766636" w:rsidRPr="006B0B33" w:rsidRDefault="00766636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32E0BB4A" w14:textId="77777777" w:rsidR="009A0026" w:rsidRPr="006B0B33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472CF2E8" w14:textId="6C9F35D2" w:rsidR="0078715A" w:rsidRPr="00025B91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025B91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Rashodi poslovanja</w:t>
      </w:r>
    </w:p>
    <w:p w14:paraId="49BC4B6B" w14:textId="57A622FC" w:rsidR="00E62078" w:rsidRPr="00025B91" w:rsidRDefault="00E62078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559F6AEA" w14:textId="07BECE45" w:rsidR="00E62078" w:rsidRDefault="00E62078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Planirani rashodi poslovanja u Proračunu za 202</w:t>
      </w:r>
      <w:r w:rsid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 iznose </w:t>
      </w:r>
      <w:r w:rsidR="00025B91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>2.159.148,58 eura</w:t>
      </w:r>
      <w:r w:rsidR="00E20939"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96,28</w:t>
      </w:r>
      <w:r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% </w:t>
      </w:r>
      <w:r w:rsid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plana </w:t>
      </w:r>
      <w:r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 202</w:t>
      </w:r>
      <w:r w:rsid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godine.</w:t>
      </w:r>
      <w:r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20939"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Rashodi poslovanja obuhvaćaju rashode za zaposlene, materijalne rashode, financijske rashode, subvencije, pomoći dane u inozemstvo i unutar općeg proračuna, naknade građanima i kućanstvima na temelju osiguranja i druge naknade te ostali rashodi. </w:t>
      </w:r>
      <w:r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</w:t>
      </w:r>
      <w:r w:rsidR="005E7F85"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</w:t>
      </w:r>
      <w:r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poslovanja u projekciji za </w:t>
      </w:r>
      <w:r w:rsid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</w:t>
      </w:r>
      <w:r w:rsidR="00E20939"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odnosu na plan se odnosi</w:t>
      </w:r>
      <w:r w:rsidR="00C84044"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</w:t>
      </w:r>
      <w:r w:rsidR="00E20939"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 </w:t>
      </w:r>
      <w:r w:rsid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materijalne rashode</w:t>
      </w:r>
      <w:r w:rsidR="00E20939"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zbog provedbe projekta „Društveni centar Bibinje“</w:t>
      </w:r>
      <w:r w:rsid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2022. godini. </w:t>
      </w:r>
      <w:r w:rsidR="00E20939" w:rsidRPr="00025B9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3DFBD65A" w14:textId="015B17C3" w:rsidR="00287886" w:rsidRDefault="00287886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1EAB37E2" w14:textId="298B9ABE" w:rsidR="00287886" w:rsidRDefault="00287886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6BBC2E7E" w14:textId="77777777" w:rsidR="00287886" w:rsidRPr="00025B91" w:rsidRDefault="00287886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905"/>
        <w:gridCol w:w="3348"/>
        <w:gridCol w:w="1701"/>
        <w:gridCol w:w="1701"/>
        <w:gridCol w:w="1559"/>
      </w:tblGrid>
      <w:tr w:rsidR="00287886" w:rsidRPr="00EB6D7B" w14:paraId="7AC90D31" w14:textId="77777777" w:rsidTr="00287886">
        <w:trPr>
          <w:trHeight w:val="25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62AB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FC22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7F2A" w14:textId="77777777" w:rsidR="00EB6D7B" w:rsidRPr="00EB6D7B" w:rsidRDefault="00EB6D7B" w:rsidP="00EB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4DCB" w14:textId="77777777" w:rsidR="00EB6D7B" w:rsidRPr="00EB6D7B" w:rsidRDefault="00EB6D7B" w:rsidP="00EB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2EED" w14:textId="77777777" w:rsidR="00EB6D7B" w:rsidRPr="00EB6D7B" w:rsidRDefault="00EB6D7B" w:rsidP="00EB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287886" w:rsidRPr="00EB6D7B" w14:paraId="3C9A4090" w14:textId="77777777" w:rsidTr="0028788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FB81" w14:textId="78DD51FC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2A26" w14:textId="2B2F58AB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="00287886"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VRSTA RASHODA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ED0A" w14:textId="77777777" w:rsidR="00EB6D7B" w:rsidRPr="00EB6D7B" w:rsidRDefault="00EB6D7B" w:rsidP="00EB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6E93" w14:textId="77777777" w:rsidR="00EB6D7B" w:rsidRPr="00EB6D7B" w:rsidRDefault="00EB6D7B" w:rsidP="00EB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E45B" w14:textId="77777777" w:rsidR="00EB6D7B" w:rsidRPr="00EB6D7B" w:rsidRDefault="00EB6D7B" w:rsidP="00EB6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2025</w:t>
            </w:r>
          </w:p>
        </w:tc>
      </w:tr>
      <w:tr w:rsidR="00287886" w:rsidRPr="00EB6D7B" w14:paraId="78722D08" w14:textId="77777777" w:rsidTr="0028788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4ABB56C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A5BB34B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3AFA33E4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2.159.148,58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BA57E08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1.985.334,13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6E0C856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2.024.580,26</w:t>
            </w:r>
          </w:p>
        </w:tc>
      </w:tr>
      <w:tr w:rsidR="00287886" w:rsidRPr="00EB6D7B" w14:paraId="6A360648" w14:textId="77777777" w:rsidTr="0028788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8909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054B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0515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444.639,33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D3C4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373.979,69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D793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401.187,87</w:t>
            </w:r>
          </w:p>
        </w:tc>
      </w:tr>
      <w:tr w:rsidR="00287886" w:rsidRPr="00EB6D7B" w14:paraId="491D9EFF" w14:textId="77777777" w:rsidTr="0028788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D6DE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CCE7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93FC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21.049,84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EAC2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36.976,57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07DD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44.621,41</w:t>
            </w:r>
          </w:p>
        </w:tc>
      </w:tr>
      <w:tr w:rsidR="00287886" w:rsidRPr="00EB6D7B" w14:paraId="0C6C52BD" w14:textId="77777777" w:rsidTr="0028788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8444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E032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C08C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14B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19.908,42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EA32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19.908,42</w:t>
            </w:r>
          </w:p>
        </w:tc>
      </w:tr>
      <w:tr w:rsidR="00287886" w:rsidRPr="00EB6D7B" w14:paraId="45773D40" w14:textId="77777777" w:rsidTr="0028788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D695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D543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61F4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207.445,75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95CC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200.809,61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89E0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179.573,96</w:t>
            </w:r>
          </w:p>
        </w:tc>
      </w:tr>
      <w:tr w:rsidR="00287886" w:rsidRPr="00EB6D7B" w14:paraId="1CB74B67" w14:textId="77777777" w:rsidTr="0028788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A93A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BE7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11D9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130.333,80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F03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130.333,80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4D04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130.333,80</w:t>
            </w:r>
          </w:p>
        </w:tc>
      </w:tr>
      <w:tr w:rsidR="00287886" w:rsidRPr="00EB6D7B" w14:paraId="666171A7" w14:textId="77777777" w:rsidTr="00287886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3B1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5CC2" w14:textId="77777777" w:rsidR="00EB6D7B" w:rsidRPr="00EB6D7B" w:rsidRDefault="00EB6D7B" w:rsidP="00EB6D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680D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376.800,05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9204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370.827,53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6E62" w14:textId="77777777" w:rsidR="00EB6D7B" w:rsidRPr="00EB6D7B" w:rsidRDefault="00EB6D7B" w:rsidP="00EB6D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374.145,60</w:t>
            </w:r>
          </w:p>
        </w:tc>
      </w:tr>
    </w:tbl>
    <w:p w14:paraId="453FDFDE" w14:textId="5BC54DA1" w:rsidR="00F3382F" w:rsidRPr="006B0B33" w:rsidRDefault="00F3382F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B98F298" w14:textId="0EDF7AE2" w:rsidR="00E62078" w:rsidRPr="003E490B" w:rsidRDefault="005E7F85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E490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Rashodi za zaposlene </w:t>
      </w:r>
      <w:r w:rsidR="00637150" w:rsidRPr="003E490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–</w:t>
      </w:r>
      <w:r w:rsidRPr="003E490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37150" w:rsidRPr="003E490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637150" w:rsidRPr="003E490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146B3F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146B3F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444.639,33 eura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373.979,69 eura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401.187,87 eura</w:t>
      </w:r>
      <w:r w:rsidR="00146B3F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Rashodi za zaposlene JUO-a planirani su u iznosu </w:t>
      </w:r>
      <w:r w:rsidR="00146B3F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206.549,87 eura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rashodi za zaposlene DV Leptirići iznose 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69.015,86 eura 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rashod</w:t>
      </w:r>
      <w:r w:rsidR="00637150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zaposlene financirane iz EU fondova </w:t>
      </w:r>
      <w:r w:rsidR="00637150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projekte Ispunjenije djetinjstvo</w:t>
      </w:r>
      <w:r w:rsidR="00146B3F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</w:t>
      </w:r>
      <w:r w:rsidR="00637150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</w:t>
      </w:r>
      <w:r w:rsidR="00146B3F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120.299,95 eura</w:t>
      </w:r>
      <w:r w:rsidR="00146B3F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37150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Podrškom za njih iznose 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48.773,64 eura</w:t>
      </w:r>
      <w:r w:rsidR="00637150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Povećanje je ovih rashoda je razvidno u odnosu na plan  zbog </w:t>
      </w:r>
      <w:r w:rsidR="00A103EA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povećanih rashoda za zaposlene JUO-a te povećanih rashoda za zaposlene 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 projektu Ispunjenije djetinjstvo</w:t>
      </w:r>
      <w:r w:rsidR="00A103EA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2F43A513" w14:textId="512084DF" w:rsidR="00637150" w:rsidRPr="006B0B33" w:rsidRDefault="0063715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CBFCA7F" w14:textId="29313F92" w:rsidR="00CE54F2" w:rsidRPr="003E490B" w:rsidRDefault="0063715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E490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Materijalni rashodi - </w:t>
      </w:r>
      <w:r w:rsidRPr="003E490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E490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3E490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6404EA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6404EA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958.971,39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404EA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94,78%</w:t>
      </w:r>
      <w:r w:rsidR="006404EA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plana za 202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6404EA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852.498,51</w:t>
      </w:r>
      <w:r w:rsidR="006404EA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eura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874.809,20 eura</w:t>
      </w:r>
      <w:r w:rsidR="00007E32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Smanjenje</w:t>
      </w:r>
      <w:r w:rsidR="00007E32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odnosu na plan u najvećem djelu se odnosi na intelektualne usluge  projekta „Društveni centar Bibinje“ te nakon provedbe projekta u 202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007E32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007E32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 godini smanjuju se rashodi za usluge u odnosu na 2022. godinu</w:t>
      </w:r>
      <w:r w:rsid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2023. godinu zbog završetka projekta. </w:t>
      </w:r>
      <w:r w:rsidR="00007E32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40972E7F" w14:textId="75CE221D" w:rsidR="00CE54F2" w:rsidRPr="003E490B" w:rsidRDefault="0063715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E490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Naknade troškova zaposlenicima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je u iznosu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12.422,76 eura</w:t>
      </w:r>
      <w:r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na rashode JUO-a u iznosu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5.010,29 eura</w:t>
      </w:r>
      <w:r w:rsidR="00360AC8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DV Leptirići u iznosu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2.123,57 eura</w:t>
      </w:r>
      <w:r w:rsidR="00B3351B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60AC8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na projekte Ispunjenije djetinjstvo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2.654,44 eura</w:t>
      </w:r>
      <w:r w:rsidR="00B3351B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60AC8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Podrškom za njih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2.654,46 eura</w:t>
      </w:r>
      <w:r w:rsidR="00360AC8" w:rsidRPr="003E490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53B147B4" w14:textId="2ACFE525" w:rsidR="00CE54F2" w:rsidRPr="008A5C80" w:rsidRDefault="0094626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A5C8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Rashodi za materijal i energiju </w:t>
      </w:r>
      <w:r w:rsidR="00360AC8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B3351B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105.753,53 eura</w:t>
      </w:r>
      <w:r w:rsidR="00B3351B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60AC8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na troškove JUO-a u iznosu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19.642,98 eura</w:t>
      </w:r>
      <w:r w:rsidR="00360AC8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održavanje komunalne infrastrukture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57.070,80 eura</w:t>
      </w:r>
      <w:r w:rsidR="00360AC8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</w:t>
      </w:r>
      <w:r w:rsidR="00B3351B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održavanje ostale komunalne infrastrukture u iznosu od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2.654,46 eura</w:t>
      </w:r>
      <w:r w:rsidR="00B3351B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360AC8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 Leptirići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11.122,17 eura</w:t>
      </w:r>
      <w:r w:rsidR="00360AC8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troškove organiziranje zabavnih manifestacija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265,44 eura</w:t>
      </w:r>
      <w:r w:rsidR="00360AC8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troškove projekata Ispunjenije djetinjstvo u iznosu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9.290,60 eura,</w:t>
      </w:r>
      <w:r w:rsidR="00360AC8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Društveni centar Bibinje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3.981,68 eura</w:t>
      </w:r>
      <w:r w:rsidR="00B3351B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60AC8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Podrškom za njih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1.725,40 eura</w:t>
      </w:r>
      <w:r w:rsidR="00B3351B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360AC8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5CA534B6" w14:textId="48E409BA" w:rsidR="0006748A" w:rsidRPr="008A5C80" w:rsidRDefault="00360AC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A5C8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Rashodi za usluge</w:t>
      </w:r>
      <w:r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9A0A63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779.656,21 eura</w:t>
      </w:r>
      <w:r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odnose se na troškove poslovanja predstavničkog tijela u iznosu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14.068,62 eura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obilježavanje dana općine i ostalih obljetnica u iznosu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14.201,34 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eura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poslovanje JUO-a u iznosu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77.908,29 eura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održavanje komunalne infrastrukture u iznosu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359.413,35 eura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310689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održavanje ostale općinske infrastrukture u iznosu od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10.617,83 eura</w:t>
      </w:r>
      <w:r w:rsidR="00310689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zaštita okoliša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88.924,28 eura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troškovi katastarske izmjere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13.272,28 eura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geodetske usluge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26.544,56 eura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310689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usluge procjene i vještačenja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1.327,23 eura</w:t>
      </w:r>
      <w:r w:rsidR="00310689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usluge logopeda u iznosu od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6.768,86 eura</w:t>
      </w:r>
      <w:r w:rsidR="00310689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poslovanje DV Leptirići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7.843,91 eura</w:t>
      </w:r>
      <w:r w:rsidR="00310689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održavanje sportskih objekata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13.272,28 eura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310689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arheološka istraživanja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9.290,60 eura</w:t>
      </w:r>
      <w:r w:rsidR="00310689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zaštita životinja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663,61 eura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organiziranje zabavnih manifestacija i sufinanciranje Ryan-</w:t>
      </w:r>
      <w:proofErr w:type="spellStart"/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air</w:t>
      </w:r>
      <w:proofErr w:type="spellEnd"/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-a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16.590,34 eura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0C4FF0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održavanje kulturnih manifestacija u iznosu </w:t>
      </w:r>
      <w:r w:rsid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16.590,35 eura</w:t>
      </w:r>
      <w:r w:rsidR="000C4FF0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održavanje poljskih puteva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13.272,28 eura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troškove projekta Ispunjenije djetinjstvo u iznosu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13.935,89 eura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Društveni centar Bibinje u iznosu 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69.841,40 eura</w:t>
      </w:r>
      <w:r w:rsidR="00CE54F2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projekt Podrškom za njih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5.308,91 eura</w:t>
      </w:r>
      <w:r w:rsidR="00804EAC" w:rsidRPr="008A5C8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414AA35D" w14:textId="4E1B7C25" w:rsidR="00404700" w:rsidRPr="0006748A" w:rsidRDefault="000C4FF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6748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Ostali nespomenuti rashodi poslovanja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61.118,83 eura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poslovanje predstavničkih i izvršnih tijela u iznosu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13.272,28 eura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obilježavanje dana općine i ostalih obljetnica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7.697,92 eura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troškovi poslovanja JUO-a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14.599,52 eura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D97EC4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troškovi poslovanja DV Leptirići u iznosu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862,69 eura</w:t>
      </w:r>
      <w:r w:rsidR="00D97EC4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zaštite okoliša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13.272,28 eura</w:t>
      </w:r>
      <w:r w:rsidR="00804EAC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održavanje kulturnih manifestacija u iznosu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8.626,98</w:t>
      </w:r>
      <w:r w:rsidR="00804EAC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>eura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organiziranje zabavnih manifestacija u iznosu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663,61 eura</w:t>
      </w:r>
      <w:r w:rsidR="00804EAC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troškovi projekta </w:t>
      </w:r>
      <w:r w:rsidR="00D97EC4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Društveni centra Bibinje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1.990,83 eura</w:t>
      </w:r>
      <w:r w:rsidR="00804EAC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Ispunjenije djetinjstvo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132,72 eura</w:t>
      </w:r>
      <w:r w:rsidR="00D97EC4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1B2CE62F" w14:textId="77777777" w:rsidR="002C6C7E" w:rsidRPr="006B0B33" w:rsidRDefault="002C6C7E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C795DC4" w14:textId="74686CB4" w:rsidR="00D97EC4" w:rsidRPr="0006748A" w:rsidRDefault="00D97EC4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06748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Financijski rashodi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- </w:t>
      </w:r>
      <w:r w:rsidRPr="0006748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06748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1B290D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1B290D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21.049,84 eura</w:t>
      </w:r>
      <w:r w:rsidR="001B290D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je 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projekciji za 202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iznos od 36.976,57 eura a u </w:t>
      </w:r>
      <w:r w:rsidR="001B290D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projekciji za 202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planiran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je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 od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44.261,41 eura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1B290D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Razvidno povećanje u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projekcijama </w:t>
      </w:r>
      <w:r w:rsidR="001B290D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odnosu na plan 202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1B290D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godine odnosi se na kamate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planiranog </w:t>
      </w:r>
      <w:r w:rsidR="001B290D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dugoročnog kredita </w:t>
      </w:r>
      <w:r w:rsid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financiranje izgradnje i opremanje dječjeg vrtića. </w:t>
      </w:r>
      <w:r w:rsidR="00CD3B9E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F00D01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Financijski rashodi se 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odnose na financijske troškove općine u iznosu 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20.704,76 eura</w:t>
      </w:r>
      <w:r w:rsidR="00CD3B9E"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financijske troškove DV Leptirići u iznosu 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345,08 eura</w:t>
      </w:r>
      <w:r w:rsidRPr="0006748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1BAECF7C" w14:textId="77777777" w:rsidR="00F00D01" w:rsidRPr="006B0B33" w:rsidRDefault="00F00D0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41781CC" w14:textId="330FB14B" w:rsidR="00D97EC4" w:rsidRPr="009751C8" w:rsidRDefault="00D97EC4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751C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Subvencije</w:t>
      </w:r>
      <w:r w:rsidR="00F00D01" w:rsidRPr="009751C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- </w:t>
      </w:r>
      <w:r w:rsidRPr="009751C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F00D01" w:rsidRPr="009751C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F00D01" w:rsidRPr="009751C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F00D01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F00D01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1B290D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F00D01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1B290D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19.908,42 eura</w:t>
      </w:r>
      <w:r w:rsidR="001B290D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F00D01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kao i u</w:t>
      </w:r>
      <w:r w:rsidR="00F00D01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</w:t>
      </w:r>
      <w:r w:rsidR="001B290D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cijama </w:t>
      </w:r>
      <w:r w:rsidR="00F00D01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F00D01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1B290D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202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1B290D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F00D01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Subvencije se </w:t>
      </w:r>
      <w:r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odnose na subvencije trgovačkom društvu Odvodnja Bibinje-Sukošan d.o.o. u iznosu 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6.636,14 eura</w:t>
      </w:r>
      <w:r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subvencije za poticanje obiteljska poljoprivredna gospodarstva s područja Općine Bibinje  u iznosu 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13.272,28 eura</w:t>
      </w:r>
      <w:r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5616774A" w14:textId="77777777" w:rsidR="00F00D01" w:rsidRPr="009751C8" w:rsidRDefault="00F00D0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1756FC0D" w14:textId="63C4DB4C" w:rsidR="002C6C7E" w:rsidRPr="009751C8" w:rsidRDefault="00F00D0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751C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Pomoć dane u inozemstvo i unutar općeg proračuna - </w:t>
      </w:r>
      <w:r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9751C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751C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2C6C7E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2C6C7E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207.445,75 eura</w:t>
      </w:r>
      <w:r w:rsidR="002C6C7E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što je 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98,80</w:t>
      </w:r>
      <w:r w:rsidR="002C6C7E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% plana 202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2C6C7E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godine. U</w:t>
      </w:r>
      <w:r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projekciji za 202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</w:t>
      </w:r>
      <w:r w:rsidR="002C6C7E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 </w:t>
      </w:r>
      <w:r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200.809,61 eura</w:t>
      </w:r>
      <w:r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179.573,96 eura</w:t>
      </w:r>
      <w:r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2C6C7E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22D4797E" w14:textId="1B40ADF4" w:rsidR="002C6C7E" w:rsidRPr="009751C8" w:rsidRDefault="00F00D0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751C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Pomoći unutar općeg proračuna</w:t>
      </w:r>
      <w:r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planirane su u iznosu 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128.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475,68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eura</w:t>
      </w:r>
      <w:r w:rsidR="002C6C7E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na sufinanciranje JVP Zadar </w:t>
      </w:r>
      <w:r w:rsidR="00741D68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kojoj je </w:t>
      </w:r>
      <w:r w:rsidR="006941DA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</w:t>
      </w:r>
      <w:r w:rsidR="00741D68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pćina Bibinje suosnivač</w:t>
      </w:r>
      <w:r w:rsidR="002C6C7E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121.839,54 eura </w:t>
      </w:r>
      <w:r w:rsidR="002C6C7E" w:rsidRP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provođenje projekta „Ispunite svoju zlatnu dob“ u kojem je Općina Bibinje partner s Općinom Poličnik</w:t>
      </w:r>
      <w:r w:rsidR="009751C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6.636,14 eura.</w:t>
      </w:r>
    </w:p>
    <w:p w14:paraId="4A13FCF9" w14:textId="45A5D0A5" w:rsidR="00F00D01" w:rsidRPr="00FF635A" w:rsidRDefault="00741D6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F635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Pomoći proračunskim korisnicima drugih proračuna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</w:t>
      </w:r>
      <w:r w:rsidR="002C6C7E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su u iznosu 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78.970,07 eura</w:t>
      </w:r>
      <w:r w:rsidR="002C6C7E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na </w:t>
      </w:r>
      <w:r w:rsidR="002C6C7E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financiranje dodatne nastave u OŠ Stjepana Radića Bibinje u iznosu od 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25.217,33 eura</w:t>
      </w:r>
      <w:r w:rsidR="001B290D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financiranje radnih materijala učenika OŠ Stjepana Radića Bibinje u iznosu od 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33.180,70 eura</w:t>
      </w:r>
      <w:r w:rsidR="001B290D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sufinanciranje ostalih izvan školskih aktivnosti u iznosu od 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1.327,23 eura</w:t>
      </w:r>
      <w:r w:rsidR="001B290D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B290D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sufinanciranje cijene vrtića za djecu sa poteškoćama u razvoju u iznosu od 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3.981,68 eura</w:t>
      </w:r>
      <w:r w:rsidR="001B290D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sufinanciranje jasličkog programa u dječjim vrtićima drugih osnivača u iznosu od 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7.963,37 eura</w:t>
      </w:r>
      <w:r w:rsidR="001B290D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pomoći zdravstvenim ustanovama u iznosu </w:t>
      </w:r>
      <w:r w:rsidR="006941DA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4.645,30 eura te sufinanciranje najma dvorane sportskim udrugama u iznosu od 2.645,46 eura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0F3F6AD6" w14:textId="0EF259A7" w:rsidR="00741D68" w:rsidRPr="006B0B33" w:rsidRDefault="00741D6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2662135" w14:textId="5D1B2215" w:rsidR="00741D68" w:rsidRPr="00FF635A" w:rsidRDefault="00741D6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F635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Naknade građanima i kućanstvima na temelju osiguranja i druge naknade -</w:t>
      </w:r>
      <w:r w:rsidR="000E27A7" w:rsidRPr="00FF635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FF635A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FF635A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264B1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130.333,80 eura</w:t>
      </w:r>
      <w:r w:rsidR="00E264B1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što </w:t>
      </w:r>
      <w:r w:rsidR="009F4A64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 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102,80</w:t>
      </w:r>
      <w:r w:rsidR="00E264B1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% plana</w:t>
      </w:r>
      <w:r w:rsidR="009F4A64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9F4A64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godine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</w:t>
      </w:r>
      <w:r w:rsidR="009F4A64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projekcij</w:t>
      </w:r>
      <w:r w:rsidR="00E264B1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E264B1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202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E264B1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9F4A64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je isti iznos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Ostale naknade građanima i kućanstvima iz proračuna odnose se na stipendije i školarine </w:t>
      </w:r>
      <w:r w:rsidR="006941DA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od 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63.706,95 eura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naknade za novorođenčad u iznosu</w:t>
      </w:r>
      <w:r w:rsidR="006941DA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39.816,86 eura</w:t>
      </w:r>
      <w:r w:rsidR="009F4A64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sufinanciranje cijene prijevoza u iznosu od </w:t>
      </w:r>
      <w:r w:rsid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9.556,04 eura</w:t>
      </w:r>
      <w:r w:rsidR="009F4A64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naknade za ogrjev u iznosu od </w:t>
      </w:r>
      <w:r w:rsid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2.654,46 eura</w:t>
      </w:r>
      <w:r w:rsidR="009F4A64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jednokratne financijske pomoći zbog bolesti u iznosu od </w:t>
      </w:r>
      <w:r w:rsid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6.636,14 eura</w:t>
      </w:r>
      <w:r w:rsidR="009F4A64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jednokratne financijske pomoći zbog nezaposlenosti u iznosu od </w:t>
      </w:r>
      <w:r w:rsid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3.981,68 eura</w:t>
      </w:r>
      <w:r w:rsidR="009F4A64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pomoć obiteljima poginulih branitelja u iznosu od </w:t>
      </w:r>
      <w:r w:rsid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663,61 eura</w:t>
      </w:r>
      <w:r w:rsidR="009F4A64"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FF635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ostale jednokratne pomoći u novcu i naravi u iznosu </w:t>
      </w:r>
      <w:r w:rsid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3.318,06 eura.</w:t>
      </w:r>
    </w:p>
    <w:p w14:paraId="4637541D" w14:textId="53A2A584" w:rsidR="000E27A7" w:rsidRPr="006B0B33" w:rsidRDefault="000E27A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67B2AA2" w14:textId="396EA8D1" w:rsidR="00EE4046" w:rsidRPr="002C5C43" w:rsidRDefault="000E27A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C5C4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Ostali rashodi -  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2C5C4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C5C4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EE4046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376.800,05 eura </w:t>
      </w:r>
      <w:r w:rsidR="00EE4046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što čini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88,75</w:t>
      </w:r>
      <w:r w:rsidR="00EE4046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% plana 202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EE4046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godine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planiran iznos od 370.827,53 eura a u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E4046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EE4046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planiran iznos od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374.145,60 eura</w:t>
      </w:r>
      <w:r w:rsidR="00EE4046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Smanjenje u odnosu na plan 2022. godine odnosi se na kapitalne pomoći trgovačkom društvu Odvodnja Bibinje-Sukošan d.o.o.. </w:t>
      </w:r>
      <w:r w:rsidR="00E264B1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FDD281C" w14:textId="41687AEF" w:rsidR="00E264B1" w:rsidRPr="002C5C43" w:rsidRDefault="000E27A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C5C4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Tekuće donacije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planirane su iznosu od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257.349,55 eura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sufinanciranje udruga u kulturi u iznosu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28.535,41 eura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sportu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95.560,43 eura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socijalnim udrugama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17.917,58 eura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sufinanciranje programa turističke zajednice </w:t>
      </w:r>
      <w:r w:rsidR="006941DA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Općine Bibinje 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46.452,98 eura</w:t>
      </w:r>
      <w:r w:rsidR="006941DA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sufinanciranje privatnih vrtića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41.409,52 eura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udruga za zaštitu i spašavanje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1.327,23 eura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vjerskih zajednica u iznosu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1.327,23 eura</w:t>
      </w:r>
      <w:r w:rsidR="00E264B1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jednokratne pomoći umirovljenicima (božićnica) u iznosu od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21.235,65 eura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pokroviteljstvo političkih stranaka u iznosu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3.583,52 eura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E025F2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21B48FA6" w14:textId="567C5708" w:rsidR="000E27A7" w:rsidRPr="001F6C48" w:rsidRDefault="00E025F2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1F6C4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lastRenderedPageBreak/>
        <w:t>Kapitalne pomoći</w:t>
      </w:r>
      <w:r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planirane su u iznosu </w:t>
      </w:r>
      <w:r w:rsidR="00E264B1"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1</w:t>
      </w:r>
      <w:r w:rsid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19,450,52 eura</w:t>
      </w:r>
      <w:r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kapitalne pomoći trgovačkim društvima u vlasništvu i suvlasništvu </w:t>
      </w:r>
      <w:r w:rsidR="00E264B1"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</w:t>
      </w:r>
      <w:r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pćine Bibinje. </w:t>
      </w:r>
      <w:r w:rsidR="00E264B1"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Kapitalna pomoć trgovačkom društvu </w:t>
      </w:r>
      <w:proofErr w:type="spellStart"/>
      <w:r w:rsidR="00E264B1"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Bibinjac</w:t>
      </w:r>
      <w:proofErr w:type="spellEnd"/>
      <w:r w:rsidR="00E264B1"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d.o.o. planirana je u iznosu od </w:t>
      </w:r>
      <w:r w:rsid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46.452,98 eura</w:t>
      </w:r>
      <w:r w:rsidR="00E264B1"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kapitalna pomoć Odvodnji Bibinje Sukošan d.o.o. planirana je u iznosu od </w:t>
      </w:r>
      <w:r w:rsid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72.997,54 eura</w:t>
      </w:r>
      <w:r w:rsidR="00E264B1"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4CA0AAC8" w14:textId="77777777" w:rsidR="00E306CE" w:rsidRPr="006B0B33" w:rsidRDefault="00E306CE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7716562A" w14:textId="77777777" w:rsidR="0078715A" w:rsidRPr="002C5C43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2C5C4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Rashodi za nabavu nefinancijske imovine</w:t>
      </w:r>
    </w:p>
    <w:p w14:paraId="70CF9156" w14:textId="77777777" w:rsidR="00E306CE" w:rsidRPr="002C5C43" w:rsidRDefault="00E306CE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100D62F3" w14:textId="2FA53CB3" w:rsidR="003F26EF" w:rsidRPr="002C5C43" w:rsidRDefault="00E025F2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rashodi </w:t>
      </w:r>
      <w:r w:rsidR="00F945AD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nabavu nefinancijske imovine  u Proračunu za 202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 iznose</w:t>
      </w:r>
      <w:r w:rsid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C5C43">
        <w:rPr>
          <w:rFonts w:ascii="Arial Narrow" w:eastAsia="Times New Roman" w:hAnsi="Arial Narrow" w:cs="Arial"/>
          <w:bCs/>
          <w:i/>
          <w:sz w:val="24"/>
          <w:szCs w:val="24"/>
          <w:lang w:eastAsia="hr-HR"/>
        </w:rPr>
        <w:t xml:space="preserve">2.229.743,18 eura </w:t>
      </w:r>
      <w:r w:rsidR="00726B37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što je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144,84</w:t>
      </w:r>
      <w:r w:rsidR="00726B37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%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26B37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plana 202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726B37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godine.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Zbog planirane izgradnje dječjeg vrtića </w:t>
      </w:r>
      <w:r w:rsidR="008D78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bilježimo razvidno povećanje ovih rashoda u odnosu na plan 2022. godine</w:t>
      </w:r>
      <w:r w:rsidR="00A30DF8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Planirani rashodi </w:t>
      </w:r>
      <w:r w:rsidR="00F945AD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nabavu nefinancijske imovine  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projekciji za 202</w:t>
      </w:r>
      <w:r w:rsidR="008D78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8D78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2.854.867,60 eura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projekcijom za 202</w:t>
      </w:r>
      <w:r w:rsidR="008D78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iznose </w:t>
      </w:r>
      <w:r w:rsidR="008D78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931.714,12 eura.</w:t>
      </w:r>
      <w:r w:rsidR="00726B37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A30DF8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Najznačajnij</w:t>
      </w:r>
      <w:r w:rsidR="002B22D5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e planirane investicije </w:t>
      </w:r>
      <w:r w:rsidR="00A30DF8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202</w:t>
      </w:r>
      <w:r w:rsidR="008D78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A30DF8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godini su </w:t>
      </w:r>
      <w:r w:rsidR="008D78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izgradnja dječjeg vrtića, </w:t>
      </w:r>
      <w:r w:rsidR="00A30DF8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izgradnja cesta, izgradnja javne rasvjete te zamjena dotrajalih rasvjetnih tijela, rekonstrukcija djela  Obale Alfreda Lisice, </w:t>
      </w:r>
      <w:r w:rsidR="008D78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rekonstrukcija </w:t>
      </w:r>
      <w:r w:rsidR="00A30DF8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sportskog centra Crljenica, uređenje Trga Tome Bulića, uređenje groblja, izgradnja pomoćnog </w:t>
      </w:r>
      <w:r w:rsidR="002B22D5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nogometnog </w:t>
      </w:r>
      <w:r w:rsidR="00A30DF8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igrališta</w:t>
      </w:r>
      <w:r w:rsidR="002B22D5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završetak PZ </w:t>
      </w:r>
      <w:proofErr w:type="spellStart"/>
      <w:r w:rsidR="002B22D5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2B22D5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U projekcijama za 2023. i 2024. najznačajnije planirane investicije su izgradnja </w:t>
      </w:r>
      <w:proofErr w:type="spellStart"/>
      <w:r w:rsidR="002B22D5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="002B22D5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dvorišta, izgradnja cesta, izgradnja javne rasvjete te zamjena dotrajalih rasvjetnih tijela, uređenje sportskog igrališta u </w:t>
      </w:r>
      <w:proofErr w:type="spellStart"/>
      <w:r w:rsidR="002B22D5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Režanima</w:t>
      </w:r>
      <w:proofErr w:type="spellEnd"/>
      <w:r w:rsidR="002B22D5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nastavak rekonstrukcije obalnog pojasa, završetak uređenja i rekonstrukcije sportskog centra Crljenica, uređenja Trga sv. Roka, uređenje groblja, izgradnja </w:t>
      </w:r>
      <w:r w:rsidR="008D78FA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opremanje dječjeg vrtića</w:t>
      </w:r>
      <w:r w:rsidR="002B22D5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izgradnja vidikovaca i </w:t>
      </w:r>
      <w:proofErr w:type="spellStart"/>
      <w:r w:rsidR="002B22D5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trail</w:t>
      </w:r>
      <w:proofErr w:type="spellEnd"/>
      <w:r w:rsidR="002B22D5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staza te izgradnja poslovne zone </w:t>
      </w:r>
      <w:proofErr w:type="spellStart"/>
      <w:r w:rsidR="002B22D5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2B22D5" w:rsidRP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2. </w:t>
      </w:r>
    </w:p>
    <w:tbl>
      <w:tblPr>
        <w:tblW w:w="9062" w:type="dxa"/>
        <w:tblLook w:val="04A0" w:firstRow="1" w:lastRow="0" w:firstColumn="1" w:lastColumn="0" w:noHBand="0" w:noVBand="1"/>
      </w:tblPr>
      <w:tblGrid>
        <w:gridCol w:w="986"/>
        <w:gridCol w:w="3619"/>
        <w:gridCol w:w="1475"/>
        <w:gridCol w:w="1491"/>
        <w:gridCol w:w="1491"/>
      </w:tblGrid>
      <w:tr w:rsidR="003F26EF" w:rsidRPr="003F26EF" w14:paraId="30AA5018" w14:textId="77777777" w:rsidTr="003F26E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FB2D" w14:textId="3BA12E45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BROJ KONTA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B1E8" w14:textId="03484619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B6D7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  <w:r w:rsidRPr="0028788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VRSTA RASHODA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F2D7" w14:textId="77777777" w:rsidR="003F26EF" w:rsidRPr="003F26EF" w:rsidRDefault="003F26EF" w:rsidP="003F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E89E" w14:textId="77777777" w:rsidR="003F26EF" w:rsidRPr="003F26EF" w:rsidRDefault="003F26EF" w:rsidP="003F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A5F4" w14:textId="77777777" w:rsidR="003F26EF" w:rsidRPr="003F26EF" w:rsidRDefault="003F26EF" w:rsidP="003F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3F26EF" w:rsidRPr="003F26EF" w14:paraId="2373845B" w14:textId="77777777" w:rsidTr="003F26E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7A05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C85E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7A9D" w14:textId="77777777" w:rsidR="003F26EF" w:rsidRPr="003F26EF" w:rsidRDefault="003F26EF" w:rsidP="003F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C948" w14:textId="77777777" w:rsidR="003F26EF" w:rsidRPr="003F26EF" w:rsidRDefault="003F26EF" w:rsidP="003F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9D61" w14:textId="77777777" w:rsidR="003F26EF" w:rsidRPr="003F26EF" w:rsidRDefault="003F26EF" w:rsidP="003F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2025</w:t>
            </w:r>
          </w:p>
        </w:tc>
      </w:tr>
      <w:tr w:rsidR="003F26EF" w:rsidRPr="003F26EF" w14:paraId="4690083E" w14:textId="77777777" w:rsidTr="003F26E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21A9630A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A493126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64EF79AF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2.229.743,18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21C2A94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2.854.867,60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1D9A6136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931.714,12</w:t>
            </w:r>
          </w:p>
        </w:tc>
      </w:tr>
      <w:tr w:rsidR="003F26EF" w:rsidRPr="003F26EF" w14:paraId="3DA5A6AE" w14:textId="77777777" w:rsidTr="003F26E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1222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737F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Rashodi za nabavu </w:t>
            </w:r>
            <w:proofErr w:type="spellStart"/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neproizvedene</w:t>
            </w:r>
            <w:proofErr w:type="spellEnd"/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dugotrajne imovine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C47A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86.535,27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2F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42.736,74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8C8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56.009,03</w:t>
            </w:r>
          </w:p>
        </w:tc>
      </w:tr>
      <w:tr w:rsidR="003F26EF" w:rsidRPr="003F26EF" w14:paraId="7CC734D0" w14:textId="77777777" w:rsidTr="003F26E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39A1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95DA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A729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1.725.131,06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9700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1.754.330,08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C34C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546.552,53</w:t>
            </w:r>
          </w:p>
        </w:tc>
      </w:tr>
      <w:tr w:rsidR="003F26EF" w:rsidRPr="003F26EF" w14:paraId="07FBB237" w14:textId="77777777" w:rsidTr="003F26EF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1996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315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9130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418.076,85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943D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1.057.800,78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ABAB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329.152,56</w:t>
            </w:r>
          </w:p>
        </w:tc>
      </w:tr>
    </w:tbl>
    <w:p w14:paraId="5D7F8A4F" w14:textId="7E0426D5" w:rsidR="006901FB" w:rsidRPr="003F26EF" w:rsidRDefault="006901FB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1F7EE51" w14:textId="77D08B28" w:rsidR="00F945AD" w:rsidRPr="00445CE3" w:rsidRDefault="00F945AD" w:rsidP="00005F96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445CE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Rashodi za nabavu </w:t>
      </w:r>
      <w:proofErr w:type="spellStart"/>
      <w:r w:rsidRPr="00445CE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neproizvedene</w:t>
      </w:r>
      <w:proofErr w:type="spellEnd"/>
      <w:r w:rsidRPr="00445CE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dugotrajne imovine -  </w:t>
      </w:r>
      <w:r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445CE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445CE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2B22D5"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planiraju se </w:t>
      </w:r>
      <w:r w:rsidR="0079287B"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79287B"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86.535,27 eura</w:t>
      </w:r>
      <w:r w:rsidR="0079287B"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42.736,74 eura</w:t>
      </w:r>
      <w:r w:rsidR="0079287B"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79287B"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56.009,03 eura</w:t>
      </w:r>
      <w:r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Planirani rashodi se odnose na licence u iznosu </w:t>
      </w:r>
      <w:r w:rsid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265,45 eura</w:t>
      </w:r>
      <w:r w:rsidR="0079287B"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istraživanje i bušenje bunara za vodu u iznosu </w:t>
      </w:r>
      <w:r w:rsid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2.654,46 eura</w:t>
      </w:r>
      <w:r w:rsidR="0079287B"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otkup zemljišta za širenje nerazvrstanih cesta u iznosu od </w:t>
      </w:r>
      <w:r w:rsid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26.544,56 eura, otkup zemljišta u Ulici Petra Kralja Krešimira IV ( bivša plinara) u iznosu od 17.253,97 eura</w:t>
      </w:r>
      <w:r w:rsidR="0079287B"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na pripremu i izradu projektne dokumentacije za investicijske projekte u iznosu od </w:t>
      </w:r>
      <w:r w:rsid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39.816,84 eura</w:t>
      </w:r>
      <w:r w:rsidR="0079287B" w:rsidRPr="00445CE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742D5C47" w14:textId="3EB23FC8" w:rsidR="0079287B" w:rsidRPr="007238CE" w:rsidRDefault="00F945A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238C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Rashodi za nabavu proizvedene dugotrajne imovine - </w:t>
      </w:r>
      <w:r w:rsidRPr="007238C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7238CE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</w:t>
      </w:r>
      <w:r w:rsidR="007238CE"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23</w:t>
      </w:r>
      <w:r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79287B"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79287B"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1.725.131,06 eura</w:t>
      </w:r>
      <w:r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79287B"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1.754.330,08 eura</w:t>
      </w:r>
      <w:r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546.552,53 eura</w:t>
      </w:r>
      <w:r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planu </w:t>
      </w:r>
      <w:r w:rsidR="0003224A"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2023. i projekciji za 2024. godinu bilježimo povećanje ovih rashoda zbog planirane izgradnje dječjeg vrtića. </w:t>
      </w:r>
      <w:r w:rsidR="0003224A"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5D315544" w14:textId="2F6C5AE0" w:rsidR="009E7C8D" w:rsidRPr="007238CE" w:rsidRDefault="002C04E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7238C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Građevinski objekti</w:t>
      </w:r>
      <w:r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1.660.362,33 eura</w:t>
      </w:r>
      <w:r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odnose se na izgradnju komunalne infrastrukture u iznosu </w:t>
      </w:r>
      <w:r w:rsid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278.717,89 eura</w:t>
      </w:r>
      <w:r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9E7C8D"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izgradnju vodovodne mreže u iznosu od </w:t>
      </w:r>
      <w:r w:rsid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39.816,84 eura</w:t>
      </w:r>
      <w:r w:rsidR="009E7C8D"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izgradnju vrtića </w:t>
      </w:r>
      <w:r w:rsid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1.327.228,09 eura</w:t>
      </w:r>
      <w:r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izgradnju poljskih puteva u iznosu </w:t>
      </w:r>
      <w:r w:rsid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13.272,28 eura</w:t>
      </w:r>
      <w:r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izgradnju ostalih objekata od lokalnog značaja u iznosu </w:t>
      </w:r>
      <w:r w:rsid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1.327,23 eura</w:t>
      </w:r>
      <w:r w:rsidRPr="007238C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5664E2A5" w14:textId="596C8AE2" w:rsidR="009E7C8D" w:rsidRPr="00D86F67" w:rsidRDefault="002C04E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86F6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Postrojenja i oprema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su u iznosu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35.569,71 eura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a odnosi se nabavu opreme JUO-a u iznosu </w:t>
      </w:r>
      <w:r w:rsidR="006941DA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13.670,45 eura,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opremanje civilne  zaštite u iznosu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663,61 eura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nabave kamera za nadzor divljih deponija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2.654,46 eura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9E7C8D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nabavu opreme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božićno uređenje mjesta</w:t>
      </w:r>
      <w:r w:rsidR="009E7C8D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5.308,91 eura</w:t>
      </w:r>
      <w:r w:rsidR="009E7C8D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E7C8D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nabavu </w:t>
      </w:r>
      <w:r w:rsidR="009E7C8D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kamera za nadzor u PZ </w:t>
      </w:r>
      <w:proofErr w:type="spellStart"/>
      <w:r w:rsidR="009E7C8D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9E7C8D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5.308,91 eura 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nabava ostale opreme od lokalnog značaja u iznosu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1.327,23 eura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56D323DD" w14:textId="3418F178" w:rsidR="002C04EB" w:rsidRPr="00D86F67" w:rsidRDefault="002C04E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86F6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Nematerijalna proizvedena imovina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planirana je u iznosu </w:t>
      </w:r>
      <w:r w:rsidR="0003224A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29.199,02 eura</w:t>
      </w:r>
      <w:r w:rsidR="0003224A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na prostorno plansku dokumentaciju</w:t>
      </w:r>
      <w:r w:rsidR="0003224A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26.544,56 </w:t>
      </w:r>
      <w:r w:rsidR="0003224A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nabavu računalnih programa u iznosu od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2.654,46 eura</w:t>
      </w:r>
      <w:r w:rsidR="0003224A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34A02B27" w14:textId="77777777" w:rsidR="009A0026" w:rsidRPr="006B0B33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F21E564" w14:textId="33EE1FB3" w:rsidR="00572D07" w:rsidRPr="00D86F67" w:rsidRDefault="00B7759D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86F6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Dodatna ulaganja na građevinskim objektima - </w:t>
      </w:r>
      <w:r w:rsidRPr="00D86F6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D86F6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03224A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03224A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418.076,85 eura</w:t>
      </w:r>
      <w:r w:rsidR="0003224A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1.057.800,78 eura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329.152,56 eura</w:t>
      </w:r>
      <w:r w:rsidR="0003224A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Planirani iznos od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225.356,49 eura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odnosi se na izgradnju komunalne infrastrukture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izgradnja ostalih objekata u iznosu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33.180,70 eura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rekonstrukcija sportskog objekta u iznosu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26.544,57 eura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ulaganje u PZ </w:t>
      </w:r>
      <w:proofErr w:type="spellStart"/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</w:t>
      </w:r>
      <w:r w:rsid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26.544,57 eura.</w:t>
      </w:r>
      <w:r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72D07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projekcij</w:t>
      </w:r>
      <w:r w:rsidR="00800F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za </w:t>
      </w:r>
      <w:r w:rsidR="00572D07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2024. godinu bilježimo razvidn</w:t>
      </w:r>
      <w:r w:rsidR="00800F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</w:t>
      </w:r>
      <w:r w:rsidR="00572D07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povećanja u odnosu na plan zbog planiranih investicija izgradnje poslovne zone </w:t>
      </w:r>
      <w:proofErr w:type="spellStart"/>
      <w:r w:rsidR="00572D07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572D07" w:rsidRPr="00D86F6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</w:t>
      </w:r>
      <w:r w:rsidR="00800F9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6B59069F" w14:textId="77777777" w:rsidR="006901FB" w:rsidRPr="003F26EF" w:rsidRDefault="006901FB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3F26E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Izdaci za financijsku imovinu i otplate zajmova </w:t>
      </w:r>
    </w:p>
    <w:p w14:paraId="515FE929" w14:textId="77777777" w:rsidR="006901FB" w:rsidRPr="003F26EF" w:rsidRDefault="006901FB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14:paraId="6780BD35" w14:textId="09911996" w:rsidR="006901FB" w:rsidRPr="003F26EF" w:rsidRDefault="006901FB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3F26EF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3F26E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 sredstva  u  iznosu 1</w:t>
      </w:r>
      <w:r w:rsid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282.847,04 eura</w:t>
      </w: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230.937,69</w:t>
      </w: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a u projekciji za 202</w:t>
      </w:r>
      <w:r w:rsid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251.377,00 eura</w:t>
      </w: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Planirani izdaci za 202</w:t>
      </w:r>
      <w:r w:rsid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u iznos od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282.847,04 eura </w:t>
      </w: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odnose se na otplatu dugoročnog kredita kod </w:t>
      </w:r>
      <w:proofErr w:type="spellStart"/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Addiko</w:t>
      </w:r>
      <w:proofErr w:type="spellEnd"/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banke d.d. za izmještanje dalekovoda i na otplatu dugoročnog kredita kod Zagrebačke banke d.d. za kupnju nekretnine u iznosu od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114.289,07 eura</w:t>
      </w: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Planiranim iznosom od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168.557,97</w:t>
      </w: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planira se otplatiti dio beskamatnog zajama od Državnog proračuna koji zatražen u 2020. godini zbog pada prihod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a, </w:t>
      </w: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otplatu beskamatnog zajma po osnovi odgođenog ili obročnog plaćanja poreza i prireza na dohodak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 </w:t>
      </w:r>
      <w:r w:rsidR="002C5C43"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otplatu beskamatnog zajma po osnovi 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povrata</w:t>
      </w:r>
      <w:r w:rsidR="002C5C43"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poreza i prireza na dohodak</w:t>
      </w:r>
      <w:r w:rsidR="002C5C4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godinu. </w:t>
      </w:r>
    </w:p>
    <w:p w14:paraId="69FF0E05" w14:textId="77777777" w:rsidR="009A0026" w:rsidRPr="006B0B33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C672385" w14:textId="0D510C41" w:rsidR="00B7759D" w:rsidRDefault="00B7759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</w:t>
      </w:r>
      <w:r w:rsidR="006901FB"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IZDACI</w:t>
      </w: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 IZVORIMA FINANCIRANJA </w:t>
      </w:r>
    </w:p>
    <w:p w14:paraId="794FDE2B" w14:textId="080B1F8B" w:rsidR="003F26EF" w:rsidRDefault="003F26E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376"/>
        <w:gridCol w:w="2964"/>
        <w:gridCol w:w="1462"/>
        <w:gridCol w:w="1711"/>
        <w:gridCol w:w="1559"/>
      </w:tblGrid>
      <w:tr w:rsidR="003F26EF" w:rsidRPr="003F26EF" w14:paraId="00E46C1E" w14:textId="77777777" w:rsidTr="003F26EF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FEBB" w14:textId="77777777" w:rsidR="003F26EF" w:rsidRPr="003F26EF" w:rsidRDefault="003F26EF" w:rsidP="003F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52CE" w14:textId="77777777" w:rsidR="003F26EF" w:rsidRPr="003F26EF" w:rsidRDefault="003F26EF" w:rsidP="003F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80E1" w14:textId="77777777" w:rsidR="003F26EF" w:rsidRPr="003F26EF" w:rsidRDefault="003F26EF" w:rsidP="003F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FB9F" w14:textId="77777777" w:rsidR="003F26EF" w:rsidRPr="003F26EF" w:rsidRDefault="003F26EF" w:rsidP="003F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F255" w14:textId="77777777" w:rsidR="003F26EF" w:rsidRPr="003F26EF" w:rsidRDefault="003F26EF" w:rsidP="003F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3F26EF" w:rsidRPr="003F26EF" w14:paraId="2BA29EC3" w14:textId="77777777" w:rsidTr="003F26EF">
        <w:trPr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6814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ŠIFRA IZVORA 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B569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VRSTRA IZVORA FINANCIRANJA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62E7" w14:textId="77777777" w:rsidR="003F26EF" w:rsidRPr="003F26EF" w:rsidRDefault="003F26EF" w:rsidP="003F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DEA7" w14:textId="77777777" w:rsidR="003F26EF" w:rsidRPr="003F26EF" w:rsidRDefault="003F26EF" w:rsidP="003F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A959" w14:textId="77777777" w:rsidR="003F26EF" w:rsidRPr="003F26EF" w:rsidRDefault="003F26EF" w:rsidP="003F2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2025</w:t>
            </w:r>
          </w:p>
        </w:tc>
      </w:tr>
      <w:tr w:rsidR="003F26EF" w:rsidRPr="003F26EF" w14:paraId="6B75D2C3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7A1B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UKUPNO RASHODI / IZDACI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1A6C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4.671.738,74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9F69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5.071.139,39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7ADA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3.207.671,37</w:t>
            </w:r>
          </w:p>
        </w:tc>
      </w:tr>
      <w:tr w:rsidR="003F26EF" w:rsidRPr="003F26EF" w14:paraId="39040EF3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236D51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Izvor 1. OPĆI PRIHODI I PRIMICI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25743F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2.086.403,98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E97B16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1.891.751,27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23F1E6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1.775.731,61</w:t>
            </w:r>
          </w:p>
        </w:tc>
      </w:tr>
      <w:tr w:rsidR="003F26EF" w:rsidRPr="003F26EF" w14:paraId="70F2EAE7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BE46A2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1.1. OPĆI PRIHODI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A8A431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2.086.403,98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AFE901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1.891.751,27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8AB948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1.775.731,61</w:t>
            </w:r>
          </w:p>
        </w:tc>
      </w:tr>
      <w:tr w:rsidR="003F26EF" w:rsidRPr="003F26EF" w14:paraId="29E292A9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2A818D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Izvor 3. VLASTITI PRIHODI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B8CBC7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19.908,41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6E44B3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19.908,41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4E2B5E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53.314,76</w:t>
            </w:r>
          </w:p>
        </w:tc>
      </w:tr>
      <w:tr w:rsidR="003F26EF" w:rsidRPr="003F26EF" w14:paraId="2A31C393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212B3E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3.1. VLASTITI PRIHODI PRORAČUNSKIH KORISNIKA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84DF29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19.908,41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7208A0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19.908,41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C1CF12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53.314,76</w:t>
            </w:r>
          </w:p>
        </w:tc>
      </w:tr>
      <w:tr w:rsidR="003F26EF" w:rsidRPr="003F26EF" w14:paraId="01420092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28B6AB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Izvor 4. PRIHODI ZA POSEBNE NAMJENE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F496E8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702.116,93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4E4BDA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691.499,10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C0B08E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602.574,83</w:t>
            </w:r>
          </w:p>
        </w:tc>
      </w:tr>
      <w:tr w:rsidR="003F26EF" w:rsidRPr="003F26EF" w14:paraId="579C9E3C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1C915E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4.1. NAKNADA ZA ZADRŽAVANJE NEZ. IZG. ZGRADA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01A30F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6.636,14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D94893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5.308,92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C1E5E1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5.308,92</w:t>
            </w:r>
          </w:p>
        </w:tc>
      </w:tr>
      <w:tr w:rsidR="003F26EF" w:rsidRPr="003F26EF" w14:paraId="433C11E6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6F5829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4.2. KOMUNALNI DOPRINOS I NAKNADA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95FA1C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577.344,22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A8B627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548.145,19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60AF91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472.493,20</w:t>
            </w:r>
          </w:p>
        </w:tc>
      </w:tr>
      <w:tr w:rsidR="003F26EF" w:rsidRPr="003F26EF" w14:paraId="4FE4EBBF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8779EF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4.3. OSTALI PRIHODI ZA POSEBNE NAMJENE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5DB205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118.136,57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834EBE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138.044,99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70C291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124.772,71</w:t>
            </w:r>
          </w:p>
        </w:tc>
      </w:tr>
      <w:tr w:rsidR="003F26EF" w:rsidRPr="003F26EF" w14:paraId="3372109F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34EBA2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40793F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855.943,29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784619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1.015.993,08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25E93F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347.468,31</w:t>
            </w:r>
          </w:p>
        </w:tc>
      </w:tr>
      <w:tr w:rsidR="003F26EF" w:rsidRPr="003F26EF" w14:paraId="08F0C6BD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F46B9E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5.1. TEKUĆE POMOĆI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D16DA7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126.367,45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89708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84.278,98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76CF05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88.658,84</w:t>
            </w:r>
          </w:p>
        </w:tc>
      </w:tr>
      <w:tr w:rsidR="003F26EF" w:rsidRPr="003F26EF" w14:paraId="653626ED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0504EC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5.2. KAPITALNE POMOĆI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9A976C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92.905,96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AFBADD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66.361,40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085B3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39.816,84</w:t>
            </w:r>
          </w:p>
        </w:tc>
      </w:tr>
      <w:tr w:rsidR="003F26EF" w:rsidRPr="003F26EF" w14:paraId="2335F380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03886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5.3. POMOĆI OD IZVANPRORAČUNSKIH KORISNIKA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055221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2CB9F2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13.272,28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E6396E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145.995,09</w:t>
            </w:r>
          </w:p>
        </w:tc>
      </w:tr>
      <w:tr w:rsidR="003F26EF" w:rsidRPr="003F26EF" w14:paraId="167018C3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CB345D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5.4. POMOĆI TEMELJEM PRIJENOSA EU SREDSTAVA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A4BCD5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636.669,88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ED2A8B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852.080,42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85F762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72.997,54</w:t>
            </w:r>
          </w:p>
        </w:tc>
      </w:tr>
      <w:tr w:rsidR="003F26EF" w:rsidRPr="003F26EF" w14:paraId="6A7CCF08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72A01E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5.5. REFUNDACIJA POMOĆI IZ PRETHODNIH GODINA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759056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2F3399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DB2DE6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F26EF" w:rsidRPr="003F26EF" w14:paraId="40E3ADC2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1F571F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6. DONACIJE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5E2BB6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BFAABA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057198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1.327,23</w:t>
            </w:r>
          </w:p>
        </w:tc>
      </w:tr>
      <w:tr w:rsidR="003F26EF" w:rsidRPr="003F26EF" w14:paraId="0DD67B29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8DC7A3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6.1. TEKUĆE DONACIJE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30A217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C71929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1.327,23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1CF457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1.327,23</w:t>
            </w:r>
          </w:p>
        </w:tc>
      </w:tr>
      <w:tr w:rsidR="003F26EF" w:rsidRPr="003F26EF" w14:paraId="46AE9EC7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3F874B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Izvor 7. PRIHODI OD PRODAJE ILI ZAMJENE NEFINANCIJSKE IMOVINE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363950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76.979,24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418FA7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345.079,31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30A81F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427.254,63</w:t>
            </w:r>
          </w:p>
        </w:tc>
      </w:tr>
      <w:tr w:rsidR="003F26EF" w:rsidRPr="003F26EF" w14:paraId="440CB683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0E1940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7.1. PRIHODI OD PRODAJE NEPROIZVEDENE DUG. IMOVINE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EB87BD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76.979,24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C32F2F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345.079,31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F5E988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427.254,63</w:t>
            </w:r>
          </w:p>
        </w:tc>
      </w:tr>
      <w:tr w:rsidR="003F26EF" w:rsidRPr="003F26EF" w14:paraId="35484071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C28A98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8. NAMJENSKI PRIMICI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4BBC3D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929.059,66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8153E4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1.105.580,99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7C229B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3F26EF" w:rsidRPr="003F26EF" w14:paraId="1CB71072" w14:textId="77777777" w:rsidTr="003F26EF">
        <w:trPr>
          <w:trHeight w:val="25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DD085E" w14:textId="77777777" w:rsidR="003F26EF" w:rsidRPr="003F26EF" w:rsidRDefault="003F26EF" w:rsidP="003F2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8.1. NAMJENSKI PRIMICI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96D0E8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929.059,66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D932CE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1.105.580,99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7ED4D1" w14:textId="77777777" w:rsidR="003F26EF" w:rsidRPr="003F26EF" w:rsidRDefault="003F26EF" w:rsidP="003F2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F2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14:paraId="5F4C2055" w14:textId="77777777" w:rsidR="000536AA" w:rsidRPr="006B0B33" w:rsidRDefault="000536A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tbl>
      <w:tblPr>
        <w:tblW w:w="5020" w:type="dxa"/>
        <w:tblLook w:val="04A0" w:firstRow="1" w:lastRow="0" w:firstColumn="1" w:lastColumn="0" w:noHBand="0" w:noVBand="1"/>
      </w:tblPr>
      <w:tblGrid>
        <w:gridCol w:w="960"/>
        <w:gridCol w:w="4060"/>
      </w:tblGrid>
      <w:tr w:rsidR="003F26EF" w:rsidRPr="006B0B33" w14:paraId="4437F80D" w14:textId="77777777" w:rsidTr="003F26E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1EC" w14:textId="77777777" w:rsidR="003F26EF" w:rsidRPr="006B0B33" w:rsidRDefault="003F26EF" w:rsidP="0000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8A16" w14:textId="77777777" w:rsidR="003F26EF" w:rsidRPr="006B0B33" w:rsidRDefault="003F26EF" w:rsidP="00005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</w:tbl>
    <w:p w14:paraId="742A9190" w14:textId="77777777" w:rsidR="0078715A" w:rsidRPr="006B0B33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01F2B30" w14:textId="5ECB842A" w:rsidR="0078715A" w:rsidRPr="001F6C48" w:rsidRDefault="00F77740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1F6C4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Rezultat poslovanja </w:t>
      </w:r>
    </w:p>
    <w:p w14:paraId="409A1A85" w14:textId="77777777" w:rsidR="00F27334" w:rsidRPr="001F6C48" w:rsidRDefault="00F27334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47AFF3BF" w14:textId="1392AED4" w:rsidR="00B8353E" w:rsidRPr="001F6C48" w:rsidRDefault="00AC790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proračunu za 202</w:t>
      </w:r>
      <w:r w:rsid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572D07"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projekcijama za 202</w:t>
      </w:r>
      <w:r w:rsid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572D07"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572D07"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planirani </w:t>
      </w:r>
      <w:r w:rsidR="00572D07" w:rsidRPr="001F6C4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prihodi i primici jednaki su planiranim rashodima i izdacima te je rezultat poslovanja 0. </w:t>
      </w:r>
      <w:r w:rsidR="00572D07" w:rsidRPr="001F6C48">
        <w:rPr>
          <w:rFonts w:ascii="Arial Narrow" w:hAnsi="Arial Narrow"/>
          <w:i/>
          <w:iCs/>
          <w:sz w:val="24"/>
          <w:szCs w:val="24"/>
        </w:rPr>
        <w:t>Izmjenama i dopunama za 202</w:t>
      </w:r>
      <w:r w:rsidR="001F6C48">
        <w:rPr>
          <w:rFonts w:ascii="Arial Narrow" w:hAnsi="Arial Narrow"/>
          <w:i/>
          <w:iCs/>
          <w:sz w:val="24"/>
          <w:szCs w:val="24"/>
        </w:rPr>
        <w:t>2</w:t>
      </w:r>
      <w:r w:rsidR="00572D07" w:rsidRPr="001F6C48">
        <w:rPr>
          <w:rFonts w:ascii="Arial Narrow" w:hAnsi="Arial Narrow"/>
          <w:i/>
          <w:iCs/>
          <w:sz w:val="24"/>
          <w:szCs w:val="24"/>
        </w:rPr>
        <w:t xml:space="preserve">. godinu planira se </w:t>
      </w:r>
      <w:r w:rsidR="001F6C48">
        <w:rPr>
          <w:rFonts w:ascii="Arial Narrow" w:hAnsi="Arial Narrow"/>
          <w:i/>
          <w:iCs/>
          <w:sz w:val="24"/>
          <w:szCs w:val="24"/>
        </w:rPr>
        <w:t>utrošiti višak</w:t>
      </w:r>
      <w:r w:rsidR="00572D07" w:rsidRPr="001F6C48">
        <w:rPr>
          <w:rFonts w:ascii="Arial Narrow" w:hAnsi="Arial Narrow"/>
          <w:i/>
          <w:iCs/>
          <w:sz w:val="24"/>
          <w:szCs w:val="24"/>
        </w:rPr>
        <w:t xml:space="preserve"> iz prethodnih godina te u 202</w:t>
      </w:r>
      <w:r w:rsidR="001F6C48">
        <w:rPr>
          <w:rFonts w:ascii="Arial Narrow" w:hAnsi="Arial Narrow"/>
          <w:i/>
          <w:iCs/>
          <w:sz w:val="24"/>
          <w:szCs w:val="24"/>
        </w:rPr>
        <w:t>3</w:t>
      </w:r>
      <w:r w:rsidR="00572D07" w:rsidRPr="001F6C48">
        <w:rPr>
          <w:rFonts w:ascii="Arial Narrow" w:hAnsi="Arial Narrow"/>
          <w:i/>
          <w:iCs/>
          <w:sz w:val="24"/>
          <w:szCs w:val="24"/>
        </w:rPr>
        <w:t>. godin</w:t>
      </w:r>
      <w:r w:rsidR="001C1953" w:rsidRPr="001F6C48">
        <w:rPr>
          <w:rFonts w:ascii="Arial Narrow" w:hAnsi="Arial Narrow"/>
          <w:i/>
          <w:iCs/>
          <w:sz w:val="24"/>
          <w:szCs w:val="24"/>
        </w:rPr>
        <w:t>i</w:t>
      </w:r>
      <w:r w:rsidR="00572D07" w:rsidRPr="001F6C48">
        <w:rPr>
          <w:rFonts w:ascii="Arial Narrow" w:hAnsi="Arial Narrow"/>
          <w:i/>
          <w:iCs/>
          <w:sz w:val="24"/>
          <w:szCs w:val="24"/>
        </w:rPr>
        <w:t xml:space="preserve"> nema prenesenog </w:t>
      </w:r>
      <w:r w:rsidR="003F26EF">
        <w:rPr>
          <w:rFonts w:ascii="Arial Narrow" w:hAnsi="Arial Narrow"/>
          <w:i/>
          <w:iCs/>
          <w:sz w:val="24"/>
          <w:szCs w:val="24"/>
        </w:rPr>
        <w:t>viška</w:t>
      </w:r>
      <w:r w:rsidR="00572D07" w:rsidRPr="001F6C48">
        <w:rPr>
          <w:rFonts w:ascii="Arial Narrow" w:hAnsi="Arial Narrow"/>
          <w:i/>
          <w:iCs/>
          <w:sz w:val="24"/>
          <w:szCs w:val="24"/>
        </w:rPr>
        <w:t xml:space="preserve"> iz prethodnog razdoblja. </w:t>
      </w:r>
    </w:p>
    <w:p w14:paraId="4CEA5A37" w14:textId="04FBB734" w:rsidR="00611253" w:rsidRPr="003F26EF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3F26E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POSEBAN DIO PRORAČUNA</w:t>
      </w:r>
    </w:p>
    <w:p w14:paraId="5593C553" w14:textId="77777777" w:rsidR="00611253" w:rsidRPr="003F26EF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2105D6B9" w14:textId="698300DB" w:rsidR="00611253" w:rsidRPr="003F26EF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Poseban dio Proračuna Općine Bibinje sastoji se od </w:t>
      </w:r>
      <w:r w:rsidR="005E69D4"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jednog</w:t>
      </w: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razdjela</w:t>
      </w:r>
      <w:r w:rsidR="005E69D4"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devet</w:t>
      </w:r>
      <w:r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glava</w:t>
      </w:r>
      <w:r w:rsidR="005E69D4" w:rsidRPr="003F26EF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jednog proračunskog korisnika. </w:t>
      </w:r>
    </w:p>
    <w:p w14:paraId="08638537" w14:textId="77777777" w:rsidR="009A0026" w:rsidRPr="006B0B33" w:rsidRDefault="009A00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EAB832E" w14:textId="34750592" w:rsidR="00611253" w:rsidRPr="008170C6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8170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Razdjel 010 Predstavnička</w:t>
      </w:r>
      <w:r w:rsidR="0063416B" w:rsidRPr="008170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, </w:t>
      </w:r>
      <w:r w:rsidRPr="008170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izvršna tijela</w:t>
      </w:r>
      <w:r w:rsidR="0063416B" w:rsidRPr="008170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i upravna tijela </w:t>
      </w:r>
    </w:p>
    <w:p w14:paraId="74D455C6" w14:textId="77777777" w:rsidR="00611253" w:rsidRPr="008170C6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8170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Glava 010-01 Predstavnička i izvršna tijela </w:t>
      </w:r>
      <w:r w:rsidR="0078715A" w:rsidRPr="008170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ab/>
      </w:r>
    </w:p>
    <w:p w14:paraId="10EB7382" w14:textId="77777777" w:rsidR="00611253" w:rsidRPr="008170C6" w:rsidRDefault="0061125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33BB0F54" w14:textId="3FB799F8" w:rsidR="00AC013F" w:rsidRPr="008170C6" w:rsidRDefault="00AC013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Glava Predstavnička i izvršna tijela osigurava rad predstavničkog tijela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izvršnog tijela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pokroviteljstvo političkih stranka te pripremu i organiziranje obilježavanja </w:t>
      </w:r>
      <w:r w:rsidR="00DD6CDA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ana Općine Bibinje te drugih obljetnica praznika i blagdana. </w:t>
      </w:r>
    </w:p>
    <w:p w14:paraId="019A9A23" w14:textId="77777777" w:rsidR="00225FCD" w:rsidRPr="008170C6" w:rsidRDefault="00225FC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2A47DFD6" w14:textId="77777777" w:rsidR="00AC013F" w:rsidRPr="008170C6" w:rsidRDefault="00AC013F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Predstavnička i izvršna tijela </w:t>
      </w:r>
      <w:r w:rsidR="00DD6CDA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sastoji se od dva programa:</w:t>
      </w:r>
    </w:p>
    <w:p w14:paraId="60320AD9" w14:textId="77777777" w:rsidR="00DD6CDA" w:rsidRPr="008170C6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7AD6FEA5" w14:textId="77777777" w:rsidR="00DD6CDA" w:rsidRPr="008170C6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8170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1001 Predstavnička i izvršna tijela</w:t>
      </w:r>
    </w:p>
    <w:p w14:paraId="24F3FBA6" w14:textId="77777777" w:rsidR="00DD6CDA" w:rsidRPr="006B0B33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F09E4F3" w14:textId="6A6CF9E5" w:rsidR="00DD6CDA" w:rsidRPr="008170C6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A1001-01 Poslovanje predstavničko i izvršnog tijela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- </w:t>
      </w:r>
      <w:r w:rsidR="0063416B" w:rsidRPr="008170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3416B" w:rsidRPr="008170C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63416B" w:rsidRPr="008170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225FCD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5759AF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27.340,90 eura kao i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</w:t>
      </w:r>
      <w:r w:rsidR="00225FCD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225FCD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225FCD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Aktivnost</w:t>
      </w:r>
      <w:r w:rsidR="003420F3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odnosi na </w:t>
      </w:r>
      <w:r w:rsidR="00225FCD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naknade za rad predstavničkog tijela u iznosu od 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9.290,60 eura</w:t>
      </w:r>
      <w:r w:rsidR="00225FCD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usluge promidžbe i informiranja u iznosu od 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11.945,05 eura</w:t>
      </w:r>
      <w:r w:rsidR="00225FCD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reprezentaciju u iznosu od 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3.981,68 eura</w:t>
      </w:r>
      <w:r w:rsidR="00225FCD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intelektualne usluge u iznosu od 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265,45 eura</w:t>
      </w:r>
      <w:r w:rsidR="00225FCD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ostale usluge 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1.858,12 eura.</w:t>
      </w:r>
      <w:r w:rsidR="003420F3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15F52C8C" w14:textId="79BABFE9" w:rsidR="0063416B" w:rsidRPr="006B0B33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C6151AC" w14:textId="5DEC1658" w:rsidR="0063416B" w:rsidRPr="008170C6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A1001-0</w:t>
      </w:r>
      <w:r w:rsidR="008170C6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Pokroviteljstvo političkih stranaka - </w:t>
      </w:r>
      <w:r w:rsidRPr="008170C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8170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3420F3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3420F3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3.583,52 eura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 godinu  dok je 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projekciji za 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202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planirano 6.901,59 eura zbog održavanja lokalnih izbora </w:t>
      </w:r>
      <w:r w:rsidR="003420F3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sukladno Zakon o financiranju političkih aktivnosti, izborne promidžbe i referenduma.  </w:t>
      </w:r>
    </w:p>
    <w:p w14:paraId="7C51260A" w14:textId="77777777" w:rsidR="00DD6CDA" w:rsidRPr="006B0B33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02D4C1C" w14:textId="77777777" w:rsidR="00DD6CDA" w:rsidRPr="008170C6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8170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Program 1002 Obilježavanje dana Općine i ostale obljetnice </w:t>
      </w:r>
    </w:p>
    <w:p w14:paraId="74CDBF63" w14:textId="77777777" w:rsidR="00DD6CDA" w:rsidRPr="006B0B33" w:rsidRDefault="00DD6CD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6CF45AA9" w14:textId="4DB4726E" w:rsidR="00C110FD" w:rsidRPr="008170C6" w:rsidRDefault="004D26E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A1002-01 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Obilježavanje dana Općine - </w:t>
      </w:r>
      <w:r w:rsidR="0063416B" w:rsidRPr="008170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63416B" w:rsidRPr="008170C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63416B" w:rsidRPr="008170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420F3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420F3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6.636,15 eura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EE61B6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63416B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  <w:r w:rsidR="003420F3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Aktivnost se odnosi na obilježavanje dana Općine, održavanje svečane sjednice te dodjele nagrada Općine Bibinje</w:t>
      </w:r>
      <w:r w:rsidR="00EE61B6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7FB38421" w14:textId="7451E231" w:rsidR="0063416B" w:rsidRPr="006B0B33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58C88E99" w14:textId="76A8144C" w:rsidR="0063416B" w:rsidRPr="008170C6" w:rsidRDefault="0063416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A1002-02 Obilježavanje ostalih obljetnica - </w:t>
      </w:r>
      <w:r w:rsidRPr="008170C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8170C6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8170C6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E61B6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0748D2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15.263,11 eura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EE61B6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  <w:r w:rsidR="00722E07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Od o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bilježavanje ostalih obljetnica </w:t>
      </w:r>
      <w:r w:rsidR="00722E07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vrijedi istaknuti obilježavanje dana Bibinjskih branitelja, </w:t>
      </w:r>
      <w:r w:rsidR="00EE61B6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VRO </w:t>
      </w:r>
      <w:r w:rsidR="00722E07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Oluja te obilježavanje obljetnice smrti prvom hrvatskom predsjedniku dr. Franji Tuđmanu. </w:t>
      </w:r>
    </w:p>
    <w:p w14:paraId="7546FD0D" w14:textId="77777777" w:rsidR="00C110FD" w:rsidRPr="006B0B33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F66DF13" w14:textId="77777777" w:rsidR="00C110FD" w:rsidRPr="008170C6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</w:t>
      </w:r>
      <w:r w:rsidR="00F27200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osnove</w:t>
      </w:r>
    </w:p>
    <w:p w14:paraId="68889F69" w14:textId="5461380F" w:rsidR="00C110FD" w:rsidRPr="008170C6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Zakon o lokalnoj i područnoj (regionalnoj</w:t>
      </w:r>
      <w:r w:rsidR="00EE61B6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) </w:t>
      </w:r>
      <w:r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samoupravi,  Statut Općine Bibinje</w:t>
      </w:r>
      <w:r w:rsidR="00EE61B6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Zakon o financiranju političkih aktivnosti, izborne promidžbe i referenduma, Odluka o izvršavanju Proračuna Općine Bibinje za 202</w:t>
      </w:r>
      <w:r w:rsid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EE61B6" w:rsidRPr="008170C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</w:p>
    <w:p w14:paraId="5C58723C" w14:textId="77777777" w:rsidR="00C110FD" w:rsidRPr="006B0B33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B99DBE4" w14:textId="76D8E75C" w:rsidR="00C110FD" w:rsidRPr="00E26DE8" w:rsidRDefault="00C110FD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26DE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Glava 0</w:t>
      </w:r>
      <w:r w:rsidR="00722E07" w:rsidRPr="00E26DE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1</w:t>
      </w:r>
      <w:r w:rsidRPr="00E26DE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0-01 Jedinstveni upravni odjel </w:t>
      </w:r>
    </w:p>
    <w:p w14:paraId="28956CDB" w14:textId="77777777" w:rsidR="00D557A0" w:rsidRPr="00E26DE8" w:rsidRDefault="00D557A0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</w:p>
    <w:p w14:paraId="077DDBCA" w14:textId="77777777" w:rsidR="0078715A" w:rsidRPr="00E26DE8" w:rsidRDefault="00D557A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Jedinstveni upravni odjel obavlja poslove pripreme i izrade materijala za općinsko vijeće, poslove odnosa sa javnošću, komunikaciju sa građanima, </w:t>
      </w:r>
      <w:r w:rsidR="00F958B6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praćenje izvršenja 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proračuna</w:t>
      </w:r>
      <w:r w:rsidR="00F958B6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izrada financijskih i statističkih izvještaja, vođenje poslovnih knjiga, vodi upravne i sudske postupke, obavlja poslove vezane za rad načelnika, obavlja poslove pisarnice</w:t>
      </w:r>
      <w:r w:rsidR="00FA5919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dodjeljuje koncesije, brine o imovini općine, gospodari prostorima i javnim površinama općine,  obavlja poslove komunalnog redarstva, kandidira projekte za dobivanje sredstava iz EU fondova i državnog proračuna te nadzire projekt katastarske izmjere općine.</w:t>
      </w:r>
    </w:p>
    <w:p w14:paraId="026579C7" w14:textId="77777777" w:rsidR="00FA5919" w:rsidRPr="00E26DE8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9FD6CE9" w14:textId="3B47FCE5" w:rsidR="0078715A" w:rsidRPr="00E26DE8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Jedinstveni upravni odjel sastoji se </w:t>
      </w:r>
      <w:r w:rsidR="00722E07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jednog 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programa:</w:t>
      </w:r>
    </w:p>
    <w:p w14:paraId="5A47E12A" w14:textId="77777777" w:rsidR="00FA5919" w:rsidRPr="00E26DE8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1295F3C6" w14:textId="77777777" w:rsidR="00FA5919" w:rsidRPr="00E26DE8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E26DE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Program 1003 Rashodi poslovanja JUO-a</w:t>
      </w:r>
    </w:p>
    <w:p w14:paraId="1DB5B039" w14:textId="77777777" w:rsidR="00FA5919" w:rsidRPr="006B0B33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color w:val="FF0000"/>
          <w:sz w:val="24"/>
          <w:szCs w:val="24"/>
          <w:lang w:eastAsia="hr-HR"/>
        </w:rPr>
      </w:pPr>
    </w:p>
    <w:p w14:paraId="5E364483" w14:textId="68371AFC" w:rsidR="00AB6AD6" w:rsidRPr="001D3083" w:rsidRDefault="00FA59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1003-01 </w:t>
      </w:r>
      <w:r w:rsidR="00AB6AD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 za zaposlene JUO-</w:t>
      </w:r>
      <w:r w:rsidR="00722E07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- </w:t>
      </w:r>
      <w:r w:rsidR="00722E07" w:rsidRPr="001D308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722E07" w:rsidRPr="001D308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722E07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</w:t>
      </w:r>
      <w:r w:rsidR="00EE61B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722E07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8F5AFD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722E07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EE61B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206.549,87 eura, </w:t>
      </w:r>
      <w:r w:rsidR="00EE61B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</w:t>
      </w:r>
      <w:r w:rsidR="00722E07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projekciji za 202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EE61B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722E07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je iznos od 223.339,31 eura</w:t>
      </w:r>
      <w:r w:rsidR="00EE61B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kao i </w:t>
      </w:r>
      <w:r w:rsidR="00EE61B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projekciji za 202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EE61B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722E07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 za zaposlene odnose se na plaće i ostale rashode za zaposlene službenika, namještenika i dužnosnika Općine Bibinje.</w:t>
      </w:r>
    </w:p>
    <w:p w14:paraId="33D54978" w14:textId="18704EBF" w:rsidR="00722E07" w:rsidRPr="006B0B33" w:rsidRDefault="00722E0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789BA2C" w14:textId="60306477" w:rsidR="00722E07" w:rsidRPr="006B0B33" w:rsidRDefault="00722E07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1003-02 Materijalni rashodi - </w:t>
      </w:r>
      <w:r w:rsidRPr="00E26DE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E26DE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9B20C7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 iznosu</w:t>
      </w:r>
      <w:r w:rsidR="009B20C7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110.524,94 eura 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107.339,59 eura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114.772,06 eura.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D5E4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Aktivnost se odnosi na naknade troškova zaposlenima u iznosu od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5.010,29 eura</w:t>
      </w:r>
      <w:r w:rsidR="004D5E4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(naknada za prijevoz na posao i sa posla, službena putovanja, stručno usavršavanje zaposlenika), rashodi za materijal i energiju u iznosu od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19.642,98 eura</w:t>
      </w:r>
      <w:r w:rsidR="004D5E4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rashodi za usluge u iznosu od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77.908,29 eura</w:t>
      </w:r>
      <w:r w:rsidR="004D5E4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</w:t>
      </w:r>
      <w:r w:rsidR="00357FD9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ostali nespomenuti rashodi poslovanja u iznosu od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7.963,38 eura</w:t>
      </w:r>
      <w:r w:rsidR="00357FD9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4D5E4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Materijalni rashodi odnose se na sve materijalne rashode za funkcioniranje i rad JUO-a Općine Bibinje</w:t>
      </w:r>
      <w:r w:rsidR="004D5E4A" w:rsidRPr="006B0B33"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  <w:t xml:space="preserve">. </w:t>
      </w:r>
      <w:r w:rsidRPr="006B0B33"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  <w:t xml:space="preserve"> </w:t>
      </w:r>
    </w:p>
    <w:p w14:paraId="62EF2C35" w14:textId="77777777" w:rsidR="00AB6AD6" w:rsidRPr="00E26DE8" w:rsidRDefault="00AB6AD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C7FC632" w14:textId="4BAB4C65" w:rsidR="00D55152" w:rsidRPr="00E26DE8" w:rsidRDefault="00D55152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 1003-0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Opremanje poslovnih prostorija - 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375BA" w:rsidRPr="00E26DE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4375BA" w:rsidRPr="00E26DE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E84819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4E5351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16.590,36 eura</w:t>
      </w:r>
      <w:r w:rsidR="004E5351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u 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projekcij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2025.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E5351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 se iznos od 5.972,54 eura. 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Rashodi se odnose za nabavu opreme JUO-a</w:t>
      </w:r>
      <w:r w:rsidR="004E5351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računalnih programa.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2023. godini planira se nabava kuhinje i ormara za zgradu općine. </w:t>
      </w:r>
    </w:p>
    <w:p w14:paraId="1CE336F2" w14:textId="77777777" w:rsidR="00B569ED" w:rsidRPr="006B0B33" w:rsidRDefault="00B569E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10A4978" w14:textId="55E3F346" w:rsidR="00E26DE8" w:rsidRPr="00E26DE8" w:rsidRDefault="00B569ED" w:rsidP="00E26DE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</w:t>
      </w:r>
      <w:r w:rsidR="009B20C7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03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-0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Financijski rashodi 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izdaci - 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375BA" w:rsidRPr="00E26DE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4375BA" w:rsidRPr="00E26DE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9B20C7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9B20C7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303.551,80 eura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267.569,18 eura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295.308,24 eura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Financijski rashodi se odnose bankarske usluge u iznosu </w:t>
      </w:r>
      <w:r w:rsidR="009B20C7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3.318,07 eura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kamate za primljene dugoročne kredite u iznosu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17.253,97 eura</w:t>
      </w:r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te otplatu glavnice dugoročnog kredita kod </w:t>
      </w:r>
      <w:proofErr w:type="spellStart"/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Addiko</w:t>
      </w:r>
      <w:proofErr w:type="spellEnd"/>
      <w:r w:rsidR="004375BA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banke d.d. </w:t>
      </w:r>
      <w:r w:rsidR="009B20C7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na otplatu dugoročnog kredita kod Zagrebačke banke d.d. za kupnju nekretnine u iznosu od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114.289,07 eura</w:t>
      </w:r>
      <w:r w:rsidR="009B20C7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Planiranim iznosom od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168.557,97 eura</w:t>
      </w:r>
      <w:r w:rsidR="009B20C7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planira se otplatiti dio beskamatnog zajama od Državnog proračuna koji zatražen u 2020. godini zbog pada prihoda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</w:t>
      </w:r>
      <w:r w:rsidR="009B20C7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otplatu beskamatnog zajma po osnovi odgođenog ili obročnog plaćanja poreza i prireza na dohodak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</w:t>
      </w:r>
      <w:r w:rsidR="00E26DE8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otplatu beskamatnog zajma po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povrata poreza</w:t>
      </w:r>
      <w:r w:rsidR="00E26DE8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plaćanja poreza i prireza na dohodak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2021. godinu. </w:t>
      </w:r>
    </w:p>
    <w:p w14:paraId="53BFA007" w14:textId="5E16F037" w:rsidR="00B569ED" w:rsidRPr="00E26DE8" w:rsidRDefault="00B569ED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45895571" w14:textId="409FA399" w:rsidR="004375BA" w:rsidRPr="006B0B33" w:rsidRDefault="004375B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753EC5D" w14:textId="6343F483" w:rsidR="004375BA" w:rsidRPr="006B0B33" w:rsidRDefault="004375B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A 1003-05 Proračunska pričuva - </w:t>
      </w:r>
      <w:r w:rsidRPr="00E26DE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E26DE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</w:t>
      </w:r>
      <w:r w:rsidR="000748D2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se u  iznosu </w:t>
      </w:r>
      <w:r w:rsidR="000748D2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6.636,14 eura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2025. </w:t>
      </w: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84819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godinu</w:t>
      </w:r>
      <w:r w:rsid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37141890" w14:textId="77777777" w:rsidR="004D1619" w:rsidRPr="006B0B33" w:rsidRDefault="004D16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18FF0EAA" w14:textId="77777777" w:rsidR="004D1619" w:rsidRPr="00E26DE8" w:rsidRDefault="004D16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0BE25059" w14:textId="0A9B8839" w:rsidR="004D1619" w:rsidRPr="00E26DE8" w:rsidRDefault="00E84819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 o proračunu, </w:t>
      </w:r>
      <w:r w:rsidR="004D1619" w:rsidRPr="00E26DE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Statut Općine Bibinje, Zakon o plaćama u lokalnoj i područnoj (regionalnoj) samoupravi, Zakon o proračunu, Zakon o lokalnoj i područnoj (regionalnoj samoupravi) </w:t>
      </w:r>
    </w:p>
    <w:p w14:paraId="04312FD7" w14:textId="77777777" w:rsidR="00FD6DFA" w:rsidRPr="006B0B33" w:rsidRDefault="00FD6DF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E0505D9" w14:textId="5FB5B933" w:rsidR="00FD6DFA" w:rsidRPr="001D3083" w:rsidRDefault="00FD6DFA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</w:pPr>
      <w:r w:rsidRPr="001D308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Glava 0</w:t>
      </w:r>
      <w:r w:rsidR="004375BA" w:rsidRPr="001D308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1</w:t>
      </w:r>
      <w:r w:rsidRPr="001D308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0-0</w:t>
      </w:r>
      <w:r w:rsidR="004375BA" w:rsidRPr="001D308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>3</w:t>
      </w:r>
      <w:r w:rsidRPr="001D308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4375BA" w:rsidRPr="001D308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Zaštita i spašavanje </w:t>
      </w:r>
      <w:r w:rsidRPr="001D308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</w:p>
    <w:p w14:paraId="51BE3F41" w14:textId="77777777" w:rsidR="00FA5919" w:rsidRPr="001D3083" w:rsidRDefault="00AB6AD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0A8D9056" w14:textId="5DBDB650" w:rsidR="00FD6DFA" w:rsidRPr="006B0B33" w:rsidRDefault="00FD6DF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Glava </w:t>
      </w:r>
      <w:r w:rsidR="004375BA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Zaštita i spašavanje</w:t>
      </w: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okviru koje se financira Javna vatrogasna postrojba Zadar</w:t>
      </w:r>
      <w:r w:rsidR="004375BA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Hrvatska gorska služba spašavanja</w:t>
      </w:r>
      <w:r w:rsidR="004375BA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civilna zaštita općine Bibinje</w:t>
      </w: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JVP-a Zadar je proračunski korisnik Grada Zadar čiji je i Općina Bibinje </w:t>
      </w:r>
      <w:r w:rsidR="001720B0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su</w:t>
      </w: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osnivač </w:t>
      </w:r>
      <w:r w:rsidR="004375BA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udjelu od </w:t>
      </w: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4,7%. </w:t>
      </w:r>
    </w:p>
    <w:p w14:paraId="5207F5A6" w14:textId="1667D24D" w:rsidR="00FF5041" w:rsidRPr="006B0B33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7FB8427" w14:textId="257FA96A" w:rsidR="00FF5041" w:rsidRPr="001D3083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1D308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</w:t>
      </w:r>
      <w:r w:rsidR="00285096" w:rsidRPr="001D308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1004 </w:t>
      </w:r>
      <w:r w:rsidRPr="001D3083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Zaštita i spašavanje</w:t>
      </w:r>
    </w:p>
    <w:p w14:paraId="73E6E00C" w14:textId="77777777" w:rsidR="001720B0" w:rsidRPr="006B0B33" w:rsidRDefault="001720B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7B2E1E06" w14:textId="46DF0808" w:rsidR="001720B0" w:rsidRPr="001D3083" w:rsidRDefault="001720B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100</w:t>
      </w:r>
      <w:r w:rsidR="003C56F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-01</w:t>
      </w:r>
      <w:r w:rsidR="003C56F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– Sufinanciranje javne vatrogasne postrojbe Zadar - </w:t>
      </w:r>
      <w:r w:rsidR="003C56F6" w:rsidRPr="001D308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3C56F6" w:rsidRPr="001D308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3C56F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3C56F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84819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3C56F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E84819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121.839,54 eura</w:t>
      </w:r>
      <w:r w:rsidR="00E84819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C56F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kao i</w:t>
      </w:r>
      <w:r w:rsidR="003C56F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="00E84819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C56F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3C56F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dok je u </w:t>
      </w:r>
      <w:r w:rsidR="003C56F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projekciji </w:t>
      </w:r>
      <w:r w:rsidR="00E84819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E84819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="003C56F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iznos od 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108.567,26 eura</w:t>
      </w:r>
      <w:r w:rsidR="00E84819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3C56F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JVP Zadar sufinancira se iz pomoći izravnanja za decentralizirane funkcije u iznosi 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79.368,24 eura </w:t>
      </w:r>
      <w:r w:rsidR="003C56F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udjela na od poreza na dohodak za decentralizirane funkcije vatrogastva u iznosu 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8.553,26 eura </w:t>
      </w:r>
      <w:r w:rsidR="003C56F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se u iznosu od 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33.918,04 eura </w:t>
      </w:r>
      <w:r w:rsidR="003C56F6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sufinancira izvan standardni rashodi JVP Zadar po sporazumu sklopljenim sa suosnivačima JVP Zadar. </w:t>
      </w:r>
    </w:p>
    <w:p w14:paraId="3342BB26" w14:textId="3549CCD9" w:rsidR="0078715A" w:rsidRPr="006B0B33" w:rsidRDefault="0078715A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B447F3D" w14:textId="76E53495" w:rsidR="00FF5041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1004-02 Sufinanciranje potreba za zaštitu i spašavanje - </w:t>
      </w:r>
      <w:r w:rsidRPr="001D3083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1D3083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84819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E84819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1.990,84 eura </w:t>
      </w: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kao i u projekciji za 202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Planirani rashodi odnose na opremanje civilne zaštite </w:t>
      </w:r>
      <w:r w:rsidR="000748D2"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</w:t>
      </w: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pćine Bibinje u iznosu 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663,61 eura</w:t>
      </w: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sufinanciranje Hrvatske gorske službe spašavanja u iznosu </w:t>
      </w:r>
      <w:r w:rsid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1.327,23 eura</w:t>
      </w: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521F4225" w14:textId="143975C3" w:rsidR="00627FF3" w:rsidRDefault="00627FF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4150"/>
        <w:gridCol w:w="1096"/>
        <w:gridCol w:w="1127"/>
      </w:tblGrid>
      <w:tr w:rsidR="00627FF3" w14:paraId="62DD54D1" w14:textId="77777777" w:rsidTr="00627FF3">
        <w:tc>
          <w:tcPr>
            <w:tcW w:w="2689" w:type="dxa"/>
            <w:shd w:val="clear" w:color="auto" w:fill="DBE5F1" w:themeFill="accent1" w:themeFillTint="33"/>
          </w:tcPr>
          <w:p w14:paraId="4B749B9B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4150" w:type="dxa"/>
            <w:shd w:val="clear" w:color="auto" w:fill="DBE5F1" w:themeFill="accent1" w:themeFillTint="33"/>
          </w:tcPr>
          <w:p w14:paraId="538254E9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096" w:type="dxa"/>
            <w:shd w:val="clear" w:color="auto" w:fill="DBE5F1" w:themeFill="accent1" w:themeFillTint="33"/>
          </w:tcPr>
          <w:p w14:paraId="4A00530C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097EDC7D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627FF3" w14:paraId="73F6A1BC" w14:textId="77777777" w:rsidTr="00627FF3">
        <w:tc>
          <w:tcPr>
            <w:tcW w:w="2689" w:type="dxa"/>
            <w:shd w:val="clear" w:color="auto" w:fill="F2F2F2" w:themeFill="background1" w:themeFillShade="F2"/>
          </w:tcPr>
          <w:p w14:paraId="600BB29C" w14:textId="77777777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Opremanje civilne zaštite Općine Bibinje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3BCFFEF6" w14:textId="77777777" w:rsidR="00627FF3" w:rsidRPr="000C28B9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C28B9">
              <w:rPr>
                <w:rFonts w:ascii="Times New Roman" w:hAnsi="Times New Roman" w:cs="Times New Roman"/>
              </w:rPr>
              <w:t>oboljšanje opremljenosti i kapaciteta protupožarnih snaga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3574F99C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14:paraId="6398B222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7FF3" w14:paraId="5B3BE171" w14:textId="77777777" w:rsidTr="00627FF3">
        <w:tc>
          <w:tcPr>
            <w:tcW w:w="2689" w:type="dxa"/>
            <w:shd w:val="clear" w:color="auto" w:fill="F2F2F2" w:themeFill="background1" w:themeFillShade="F2"/>
          </w:tcPr>
          <w:p w14:paraId="57A78BE7" w14:textId="77777777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Sufinanciranje HGSS-a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51AEF841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Sufinanciran rad HGSS-a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4076BF90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shd w:val="clear" w:color="auto" w:fill="F2F2F2" w:themeFill="background1" w:themeFillShade="F2"/>
          </w:tcPr>
          <w:p w14:paraId="269FCB02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B677807" w14:textId="77777777" w:rsidR="00627FF3" w:rsidRPr="001D3083" w:rsidRDefault="00627FF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5B6F73E3" w14:textId="77777777" w:rsidR="00FF5041" w:rsidRPr="006B0B33" w:rsidRDefault="00FF5041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22127B18" w14:textId="77777777" w:rsidR="00F27200" w:rsidRPr="001D3083" w:rsidRDefault="00F27200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1D3083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Zakonske i druge pravne osnove </w:t>
      </w:r>
    </w:p>
    <w:p w14:paraId="3A091CD7" w14:textId="138E331C" w:rsidR="00F27200" w:rsidRPr="001D3083" w:rsidRDefault="00F27200" w:rsidP="00005F96">
      <w:pPr>
        <w:pStyle w:val="Naslov8"/>
        <w:tabs>
          <w:tab w:val="left" w:pos="708"/>
        </w:tabs>
        <w:jc w:val="both"/>
        <w:rPr>
          <w:rFonts w:ascii="Arial Narrow" w:hAnsi="Arial Narrow"/>
          <w:b w:val="0"/>
          <w:i/>
          <w:iCs/>
          <w:sz w:val="24"/>
        </w:rPr>
      </w:pPr>
      <w:r w:rsidRPr="001D3083">
        <w:rPr>
          <w:rFonts w:ascii="Arial Narrow" w:hAnsi="Arial Narrow"/>
          <w:b w:val="0"/>
          <w:i/>
          <w:iCs/>
          <w:sz w:val="24"/>
        </w:rPr>
        <w:t>Zakon o vatrogastvu, Odluka o minimalnim financijskim standardima za obavljanje djelatnosti javnih vatrogasnih postrojbi u 20</w:t>
      </w:r>
      <w:r w:rsidR="0038207E" w:rsidRPr="001D3083">
        <w:rPr>
          <w:rFonts w:ascii="Arial Narrow" w:hAnsi="Arial Narrow"/>
          <w:b w:val="0"/>
          <w:i/>
          <w:iCs/>
          <w:sz w:val="24"/>
        </w:rPr>
        <w:t>2</w:t>
      </w:r>
      <w:r w:rsidR="001D3083" w:rsidRPr="001D3083">
        <w:rPr>
          <w:rFonts w:ascii="Arial Narrow" w:hAnsi="Arial Narrow"/>
          <w:b w:val="0"/>
          <w:i/>
          <w:iCs/>
          <w:sz w:val="24"/>
        </w:rPr>
        <w:t>3</w:t>
      </w:r>
      <w:r w:rsidRPr="001D3083">
        <w:rPr>
          <w:rFonts w:ascii="Arial Narrow" w:hAnsi="Arial Narrow"/>
          <w:b w:val="0"/>
          <w:i/>
          <w:iCs/>
          <w:sz w:val="24"/>
        </w:rPr>
        <w:t>. godini, Plan zaštite od požara za Grad</w:t>
      </w:r>
      <w:r w:rsidR="0038207E" w:rsidRPr="001D3083">
        <w:rPr>
          <w:rFonts w:ascii="Arial Narrow" w:hAnsi="Arial Narrow"/>
          <w:b w:val="0"/>
          <w:i/>
          <w:iCs/>
          <w:sz w:val="24"/>
        </w:rPr>
        <w:t>a</w:t>
      </w:r>
      <w:r w:rsidRPr="001D3083">
        <w:rPr>
          <w:rFonts w:ascii="Arial Narrow" w:hAnsi="Arial Narrow"/>
          <w:b w:val="0"/>
          <w:i/>
          <w:iCs/>
          <w:sz w:val="24"/>
        </w:rPr>
        <w:t xml:space="preserve"> Zadar, Općin</w:t>
      </w:r>
      <w:r w:rsidR="0038207E" w:rsidRPr="001D3083">
        <w:rPr>
          <w:rFonts w:ascii="Arial Narrow" w:hAnsi="Arial Narrow"/>
          <w:b w:val="0"/>
          <w:i/>
          <w:iCs/>
          <w:sz w:val="24"/>
        </w:rPr>
        <w:t xml:space="preserve">e </w:t>
      </w:r>
      <w:r w:rsidRPr="001D3083">
        <w:rPr>
          <w:rFonts w:ascii="Arial Narrow" w:hAnsi="Arial Narrow"/>
          <w:b w:val="0"/>
          <w:i/>
          <w:iCs/>
          <w:sz w:val="24"/>
        </w:rPr>
        <w:t>Poličnik, Općin</w:t>
      </w:r>
      <w:r w:rsidR="0038207E" w:rsidRPr="001D3083">
        <w:rPr>
          <w:rFonts w:ascii="Arial Narrow" w:hAnsi="Arial Narrow"/>
          <w:b w:val="0"/>
          <w:i/>
          <w:iCs/>
          <w:sz w:val="24"/>
        </w:rPr>
        <w:t>e</w:t>
      </w:r>
      <w:r w:rsidRPr="001D3083">
        <w:rPr>
          <w:rFonts w:ascii="Arial Narrow" w:hAnsi="Arial Narrow"/>
          <w:b w:val="0"/>
          <w:i/>
          <w:iCs/>
          <w:sz w:val="24"/>
        </w:rPr>
        <w:t xml:space="preserve"> Bibinje i Općin</w:t>
      </w:r>
      <w:r w:rsidR="0038207E" w:rsidRPr="001D3083">
        <w:rPr>
          <w:rFonts w:ascii="Arial Narrow" w:hAnsi="Arial Narrow"/>
          <w:b w:val="0"/>
          <w:i/>
          <w:iCs/>
          <w:sz w:val="24"/>
        </w:rPr>
        <w:t>e</w:t>
      </w:r>
      <w:r w:rsidRPr="001D3083">
        <w:rPr>
          <w:rFonts w:ascii="Arial Narrow" w:hAnsi="Arial Narrow"/>
          <w:b w:val="0"/>
          <w:i/>
          <w:iCs/>
          <w:sz w:val="24"/>
        </w:rPr>
        <w:t xml:space="preserve"> Zemunik Donji, Zakon o zaštiti od požara, Smjernice i godišnji plan za organizaciju i razvoj sustava civilne zaštite na području Općine Bibinje za razdoblje od 20</w:t>
      </w:r>
      <w:r w:rsidR="0038207E" w:rsidRPr="001D3083">
        <w:rPr>
          <w:rFonts w:ascii="Arial Narrow" w:hAnsi="Arial Narrow"/>
          <w:b w:val="0"/>
          <w:i/>
          <w:iCs/>
          <w:sz w:val="24"/>
        </w:rPr>
        <w:t>2</w:t>
      </w:r>
      <w:r w:rsidR="001D3083" w:rsidRPr="001D3083">
        <w:rPr>
          <w:rFonts w:ascii="Arial Narrow" w:hAnsi="Arial Narrow"/>
          <w:b w:val="0"/>
          <w:i/>
          <w:iCs/>
          <w:sz w:val="24"/>
        </w:rPr>
        <w:t>3</w:t>
      </w:r>
      <w:r w:rsidRPr="001D3083">
        <w:rPr>
          <w:rFonts w:ascii="Arial Narrow" w:hAnsi="Arial Narrow"/>
          <w:b w:val="0"/>
          <w:i/>
          <w:iCs/>
          <w:sz w:val="24"/>
        </w:rPr>
        <w:t>. do 202</w:t>
      </w:r>
      <w:r w:rsidR="001D3083" w:rsidRPr="001D3083">
        <w:rPr>
          <w:rFonts w:ascii="Arial Narrow" w:hAnsi="Arial Narrow"/>
          <w:b w:val="0"/>
          <w:i/>
          <w:iCs/>
          <w:sz w:val="24"/>
        </w:rPr>
        <w:t>5</w:t>
      </w:r>
      <w:r w:rsidRPr="001D3083">
        <w:rPr>
          <w:rFonts w:ascii="Arial Narrow" w:hAnsi="Arial Narrow"/>
          <w:b w:val="0"/>
          <w:i/>
          <w:iCs/>
          <w:sz w:val="24"/>
        </w:rPr>
        <w:t>. godine.</w:t>
      </w:r>
    </w:p>
    <w:p w14:paraId="0AA424C6" w14:textId="77777777" w:rsidR="00F27200" w:rsidRPr="006B0B33" w:rsidRDefault="00F27200" w:rsidP="00005F96">
      <w:pPr>
        <w:spacing w:line="240" w:lineRule="auto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56236A0A" w14:textId="2A822194" w:rsidR="00F27200" w:rsidRPr="00732D11" w:rsidRDefault="00F27200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732D11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3C56F6" w:rsidRPr="00732D11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732D11">
        <w:rPr>
          <w:rFonts w:ascii="Arial Narrow" w:hAnsi="Arial Narrow"/>
          <w:b/>
          <w:i/>
          <w:iCs/>
          <w:sz w:val="24"/>
          <w:szCs w:val="24"/>
          <w:lang w:eastAsia="hr-HR"/>
        </w:rPr>
        <w:t>0-0</w:t>
      </w:r>
      <w:r w:rsidR="003C56F6" w:rsidRPr="00732D11">
        <w:rPr>
          <w:rFonts w:ascii="Arial Narrow" w:hAnsi="Arial Narrow"/>
          <w:b/>
          <w:i/>
          <w:iCs/>
          <w:sz w:val="24"/>
          <w:szCs w:val="24"/>
          <w:lang w:eastAsia="hr-HR"/>
        </w:rPr>
        <w:t>4</w:t>
      </w:r>
      <w:r w:rsidRPr="00732D11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="003C56F6" w:rsidRPr="00732D11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Održavanje komunalne infrastrukture, ostalih objekata i zaštite okoliša </w:t>
      </w:r>
      <w:r w:rsidRPr="00732D11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</w:p>
    <w:p w14:paraId="4E0D18B2" w14:textId="316E40E4" w:rsidR="003D6E79" w:rsidRPr="00732D11" w:rsidRDefault="003D6E79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732D11">
        <w:rPr>
          <w:rFonts w:ascii="Arial Narrow" w:hAnsi="Arial Narrow"/>
          <w:i/>
          <w:sz w:val="24"/>
          <w:szCs w:val="24"/>
          <w:lang w:eastAsia="hr-HR"/>
        </w:rPr>
        <w:t>Glava</w:t>
      </w:r>
      <w:r w:rsidR="003C56F6" w:rsidRPr="00732D11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="003C56F6" w:rsidRPr="00732D11">
        <w:rPr>
          <w:rFonts w:ascii="Arial Narrow" w:hAnsi="Arial Narrow"/>
          <w:i/>
          <w:iCs/>
          <w:sz w:val="24"/>
          <w:szCs w:val="24"/>
          <w:lang w:eastAsia="hr-HR"/>
        </w:rPr>
        <w:t>održavanje komunalne infrastrukture, ostalih objekata i zaštite okoliša</w:t>
      </w:r>
      <w:r w:rsidR="003C56F6" w:rsidRPr="00732D11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 </w:t>
      </w:r>
      <w:r w:rsidRPr="00732D11">
        <w:rPr>
          <w:rFonts w:ascii="Arial Narrow" w:hAnsi="Arial Narrow"/>
          <w:i/>
          <w:sz w:val="24"/>
          <w:szCs w:val="24"/>
          <w:lang w:eastAsia="hr-HR"/>
        </w:rPr>
        <w:t xml:space="preserve"> ima tri programa održavanje </w:t>
      </w:r>
      <w:r w:rsidR="003C56F6" w:rsidRPr="00732D11">
        <w:rPr>
          <w:rFonts w:ascii="Arial Narrow" w:hAnsi="Arial Narrow"/>
          <w:i/>
          <w:sz w:val="24"/>
          <w:szCs w:val="24"/>
          <w:lang w:eastAsia="hr-HR"/>
        </w:rPr>
        <w:t xml:space="preserve">komunalne infrastrukture, održavanje ostale općinske komunalne infrastrukture i zaštite okoliša </w:t>
      </w:r>
      <w:r w:rsidRPr="00732D11">
        <w:rPr>
          <w:rFonts w:ascii="Arial Narrow" w:hAnsi="Arial Narrow"/>
          <w:i/>
          <w:sz w:val="24"/>
          <w:szCs w:val="24"/>
          <w:lang w:eastAsia="hr-HR"/>
        </w:rPr>
        <w:t xml:space="preserve"> Cilj ove glave je  unapređenje komunalne infrastrukture, stvaranje boljih uvjeta života i rada mještana Bibinja, osiguranje preduvjeta za gospodarski razvoj</w:t>
      </w:r>
      <w:r w:rsidR="003C56F6" w:rsidRPr="00732D11">
        <w:rPr>
          <w:rFonts w:ascii="Arial Narrow" w:hAnsi="Arial Narrow"/>
          <w:i/>
          <w:sz w:val="24"/>
          <w:szCs w:val="24"/>
          <w:lang w:eastAsia="hr-HR"/>
        </w:rPr>
        <w:t xml:space="preserve"> i</w:t>
      </w:r>
      <w:r w:rsidRPr="00732D11">
        <w:rPr>
          <w:rFonts w:ascii="Arial Narrow" w:hAnsi="Arial Narrow"/>
          <w:i/>
          <w:sz w:val="24"/>
          <w:szCs w:val="24"/>
          <w:lang w:eastAsia="hr-HR"/>
        </w:rPr>
        <w:t xml:space="preserve"> unapređenje sustava zaštite okoliša.</w:t>
      </w:r>
    </w:p>
    <w:p w14:paraId="6DBC494F" w14:textId="142DC5CA" w:rsidR="00FF5041" w:rsidRPr="00732D11" w:rsidRDefault="00FF5041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732D11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</w:t>
      </w:r>
      <w:r w:rsidR="00285096" w:rsidRPr="00732D11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1005 </w:t>
      </w:r>
      <w:r w:rsidRPr="00732D11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Održavanje komunalne infrastrukture </w:t>
      </w:r>
    </w:p>
    <w:p w14:paraId="3B0991F4" w14:textId="616E3CDF" w:rsidR="00285096" w:rsidRPr="00732D11" w:rsidRDefault="00285096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732D11">
        <w:rPr>
          <w:rFonts w:ascii="Arial Narrow" w:hAnsi="Arial Narrow"/>
          <w:i/>
          <w:sz w:val="24"/>
          <w:szCs w:val="24"/>
          <w:lang w:eastAsia="hr-HR"/>
        </w:rPr>
        <w:lastRenderedPageBreak/>
        <w:t xml:space="preserve">A 1005-01 Održavanje javnih površina- </w:t>
      </w:r>
      <w:r w:rsidRPr="00732D1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732D11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B022B4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B022B4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45.125,75 eura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B022B4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B022B4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202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B022B4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iznos od 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39.816,84 eura</w:t>
      </w:r>
      <w:r w:rsidR="000748D2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F37DC9" w:rsidRPr="00732D11">
        <w:rPr>
          <w:rFonts w:ascii="Arial Narrow" w:hAnsi="Arial Narrow" w:cs="Arial"/>
          <w:i/>
          <w:iCs/>
          <w:sz w:val="24"/>
          <w:szCs w:val="24"/>
        </w:rPr>
        <w:t>Održavanje javnih površina podrazumijeva se održavanje i popravci tih površina kojima se osigurava njihova funkcionalna ispravnost</w:t>
      </w:r>
      <w:r w:rsidR="00B022B4" w:rsidRPr="00732D11">
        <w:rPr>
          <w:rFonts w:ascii="Arial Narrow" w:hAnsi="Arial Narrow" w:cs="Arial"/>
          <w:i/>
          <w:iCs/>
          <w:sz w:val="24"/>
          <w:szCs w:val="24"/>
        </w:rPr>
        <w:t xml:space="preserve">. </w:t>
      </w:r>
    </w:p>
    <w:p w14:paraId="3454CAAA" w14:textId="7D9C0E44" w:rsidR="00285096" w:rsidRPr="00732D11" w:rsidRDefault="00285096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732D11">
        <w:rPr>
          <w:rFonts w:ascii="Arial Narrow" w:hAnsi="Arial Narrow"/>
          <w:i/>
          <w:sz w:val="24"/>
          <w:szCs w:val="24"/>
          <w:lang w:eastAsia="hr-HR"/>
        </w:rPr>
        <w:t>A</w:t>
      </w:r>
      <w:r w:rsidRPr="006B0B33">
        <w:rPr>
          <w:rFonts w:ascii="Arial Narrow" w:hAnsi="Arial Narrow"/>
          <w:i/>
          <w:color w:val="FF0000"/>
          <w:sz w:val="24"/>
          <w:szCs w:val="24"/>
          <w:lang w:eastAsia="hr-HR"/>
        </w:rPr>
        <w:t xml:space="preserve"> </w:t>
      </w:r>
      <w:r w:rsidRPr="00732D11">
        <w:rPr>
          <w:rFonts w:ascii="Arial Narrow" w:hAnsi="Arial Narrow"/>
          <w:i/>
          <w:sz w:val="24"/>
          <w:szCs w:val="24"/>
          <w:lang w:eastAsia="hr-HR"/>
        </w:rPr>
        <w:t xml:space="preserve">1005-02 Održavanje zelenih površina – </w:t>
      </w:r>
      <w:r w:rsidRPr="00732D1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732D11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B022B4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sredstva u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iznosu </w:t>
      </w:r>
      <w:r w:rsidR="00B022B4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15.263,13 eura</w:t>
      </w:r>
      <w:r w:rsidR="00B022B4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B022B4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B022B4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202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B022B4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planiran iznos od</w:t>
      </w:r>
      <w:r w:rsidR="00B022B4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11.281,44 eura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F37DC9" w:rsidRPr="00732D11">
        <w:rPr>
          <w:rFonts w:ascii="Arial Narrow" w:hAnsi="Arial Narrow" w:cs="Arial"/>
          <w:i/>
          <w:iCs/>
          <w:sz w:val="24"/>
          <w:szCs w:val="24"/>
        </w:rPr>
        <w:t xml:space="preserve"> Održavanje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="00F37DC9" w:rsidRPr="00732D11">
        <w:rPr>
          <w:rFonts w:ascii="Arial Narrow" w:hAnsi="Arial Narrow" w:cs="Arial"/>
          <w:i/>
          <w:iCs/>
          <w:sz w:val="24"/>
          <w:szCs w:val="24"/>
        </w:rPr>
        <w:t>fitosanitarna</w:t>
      </w:r>
      <w:proofErr w:type="spellEnd"/>
      <w:r w:rsidR="00F37DC9" w:rsidRPr="00732D11">
        <w:rPr>
          <w:rFonts w:ascii="Arial Narrow" w:hAnsi="Arial Narrow" w:cs="Arial"/>
          <w:i/>
          <w:iCs/>
          <w:sz w:val="24"/>
          <w:szCs w:val="24"/>
        </w:rPr>
        <w:t xml:space="preserve"> zaštita bilja i biljnog materijala za potrebe održavanja i drugi poslovi potrebni za održavanje tih površina</w:t>
      </w:r>
    </w:p>
    <w:p w14:paraId="76996C41" w14:textId="503F6C4E" w:rsidR="00285096" w:rsidRPr="00732D11" w:rsidRDefault="00285096" w:rsidP="00005F96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732D11">
        <w:rPr>
          <w:rFonts w:ascii="Arial Narrow" w:hAnsi="Arial Narrow"/>
          <w:i/>
          <w:sz w:val="24"/>
          <w:szCs w:val="24"/>
          <w:lang w:eastAsia="hr-HR"/>
        </w:rPr>
        <w:t xml:space="preserve">A1005- 03 Održavanje čistoće javnih površina – </w:t>
      </w:r>
      <w:r w:rsidRPr="00732D11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>u</w:t>
      </w:r>
      <w:r w:rsidRPr="00732D11">
        <w:rPr>
          <w:rFonts w:ascii="Arial Narrow" w:eastAsia="Times New Roman" w:hAnsi="Arial Narrow" w:cs="Times New Roman"/>
          <w:b/>
          <w:i/>
          <w:sz w:val="24"/>
          <w:szCs w:val="24"/>
          <w:lang w:eastAsia="hr-HR"/>
        </w:rPr>
        <w:t xml:space="preserve"> </w:t>
      </w:r>
      <w:r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Proračunu za 202</w:t>
      </w:r>
      <w:r w:rsid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3</w:t>
      </w:r>
      <w:r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. godinu planiraju se </w:t>
      </w:r>
      <w:r w:rsidR="00B022B4"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sredstva </w:t>
      </w:r>
      <w:r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u  iznosu</w:t>
      </w:r>
      <w:r w:rsidR="00B022B4"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od </w:t>
      </w:r>
      <w:r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</w:t>
      </w:r>
      <w:r w:rsid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265.445,61 eura</w:t>
      </w:r>
      <w:r w:rsidR="00B022B4"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kao i u projekcijama za 202</w:t>
      </w:r>
      <w:r w:rsid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4</w:t>
      </w:r>
      <w:r w:rsidR="00B022B4"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. i 202</w:t>
      </w:r>
      <w:r w:rsid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5</w:t>
      </w:r>
      <w:r w:rsidR="00B022B4"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. godinu. </w:t>
      </w:r>
      <w:r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</w:t>
      </w:r>
      <w:r w:rsidR="00F37DC9" w:rsidRPr="00732D11">
        <w:rPr>
          <w:rFonts w:ascii="Arial Narrow" w:hAnsi="Arial Narrow" w:cs="Arial"/>
          <w:i/>
          <w:sz w:val="24"/>
          <w:szCs w:val="24"/>
        </w:rPr>
        <w:t>Održavanje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Općine Bibinje.</w:t>
      </w:r>
    </w:p>
    <w:p w14:paraId="6C70FDC4" w14:textId="77777777" w:rsidR="00F37DC9" w:rsidRPr="006B0B33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color w:val="FF0000"/>
          <w:sz w:val="24"/>
          <w:szCs w:val="24"/>
        </w:rPr>
      </w:pPr>
    </w:p>
    <w:p w14:paraId="0100F7FC" w14:textId="2DD1C782" w:rsidR="00285096" w:rsidRPr="00732D11" w:rsidRDefault="00285096" w:rsidP="00005F96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  <w:lang w:eastAsia="hr-HR"/>
        </w:rPr>
      </w:pPr>
      <w:r w:rsidRPr="00732D11">
        <w:rPr>
          <w:rFonts w:ascii="Arial Narrow" w:hAnsi="Arial Narrow"/>
          <w:i/>
          <w:sz w:val="24"/>
          <w:szCs w:val="24"/>
          <w:lang w:eastAsia="hr-HR"/>
        </w:rPr>
        <w:t xml:space="preserve">A 1005–04 Održavanje nerazvrstanih cesta – </w:t>
      </w:r>
      <w:r w:rsidRPr="00732D11">
        <w:rPr>
          <w:rFonts w:ascii="Arial Narrow" w:eastAsia="Times New Roman" w:hAnsi="Arial Narrow" w:cs="Times New Roman"/>
          <w:bCs/>
          <w:i/>
          <w:sz w:val="24"/>
          <w:szCs w:val="24"/>
          <w:lang w:eastAsia="hr-HR"/>
        </w:rPr>
        <w:t>u</w:t>
      </w:r>
      <w:r w:rsidRPr="00732D11">
        <w:rPr>
          <w:rFonts w:ascii="Arial Narrow" w:eastAsia="Times New Roman" w:hAnsi="Arial Narrow" w:cs="Times New Roman"/>
          <w:b/>
          <w:i/>
          <w:sz w:val="24"/>
          <w:szCs w:val="24"/>
          <w:lang w:eastAsia="hr-HR"/>
        </w:rPr>
        <w:t xml:space="preserve"> </w:t>
      </w:r>
      <w:r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Proračunu za 202</w:t>
      </w:r>
      <w:r w:rsid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3</w:t>
      </w:r>
      <w:r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. godinu planiraju se </w:t>
      </w:r>
      <w:r w:rsidR="00B022B4"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sredstva </w:t>
      </w:r>
      <w:r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u  iznosu </w:t>
      </w:r>
      <w:r w:rsidR="00B022B4"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od </w:t>
      </w:r>
      <w:r w:rsid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14.599,49 eura kao i </w:t>
      </w:r>
      <w:r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u projekcij</w:t>
      </w:r>
      <w:r w:rsidR="00B022B4"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ama za 202</w:t>
      </w:r>
      <w:r w:rsid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4</w:t>
      </w:r>
      <w:r w:rsidR="00B022B4"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. i 202</w:t>
      </w:r>
      <w:r w:rsid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5</w:t>
      </w:r>
      <w:r w:rsidR="00B022B4" w:rsidRP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. godinu.</w:t>
      </w:r>
      <w:r w:rsidR="00732D1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</w:t>
      </w:r>
      <w:r w:rsidR="00F37DC9" w:rsidRPr="00732D11">
        <w:rPr>
          <w:rFonts w:ascii="Arial Narrow" w:hAnsi="Arial Narrow"/>
          <w:bCs/>
          <w:i/>
          <w:sz w:val="24"/>
          <w:szCs w:val="24"/>
          <w:lang w:eastAsia="hr-HR"/>
        </w:rPr>
        <w:t xml:space="preserve">Održavanje nerazvrstanih cesta podrazumijeva se skup mjera i radnji koje se obavljaju tijekom cijele godine na nerazvrstanim cestama, uključujući i svu opremu, uređaje i instalacije, sa svrhom održavanja prohodnosti i tehničke ispravnosti ceste i prometne sigurnosti na njima, kao i mjestimično poboljšanje elemenata ceste, osiguravanje sigurnosti i trajnosti ceste i cestovnih objekata i povećanje sigurnosti prometa, a u skladu s propisima kojima je uređeno održavanje cesta. </w:t>
      </w:r>
    </w:p>
    <w:p w14:paraId="338A3542" w14:textId="77777777" w:rsidR="00F37DC9" w:rsidRPr="006B0B33" w:rsidRDefault="00F37DC9" w:rsidP="00005F96">
      <w:pPr>
        <w:spacing w:after="0" w:line="240" w:lineRule="auto"/>
        <w:jc w:val="both"/>
        <w:rPr>
          <w:rFonts w:ascii="Arial Narrow" w:hAnsi="Arial Narrow"/>
          <w:bCs/>
          <w:i/>
          <w:color w:val="FF0000"/>
          <w:sz w:val="24"/>
          <w:szCs w:val="24"/>
          <w:lang w:eastAsia="hr-HR"/>
        </w:rPr>
      </w:pPr>
    </w:p>
    <w:p w14:paraId="3E669495" w14:textId="00A28CB5" w:rsidR="00285096" w:rsidRPr="00732D11" w:rsidRDefault="00285096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732D11">
        <w:rPr>
          <w:rFonts w:ascii="Arial Narrow" w:hAnsi="Arial Narrow"/>
          <w:i/>
          <w:sz w:val="24"/>
          <w:szCs w:val="24"/>
          <w:lang w:eastAsia="hr-HR"/>
        </w:rPr>
        <w:t xml:space="preserve">A 1005-05 Održavanje građevina i uređaja javne namjene  - </w:t>
      </w:r>
      <w:r w:rsidRPr="00732D1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732D11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B022B4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u iznosu od 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6.370,70 eura</w:t>
      </w:r>
      <w:r w:rsidR="00B022B4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F37DC9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kao i u projekcij</w:t>
      </w:r>
      <w:r w:rsidR="00B022B4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="00F37DC9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F37DC9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F37DC9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  <w:r w:rsidR="00F37DC9" w:rsidRPr="00732D11">
        <w:rPr>
          <w:rFonts w:ascii="Arial Narrow" w:hAnsi="Arial Narrow" w:cs="Arial"/>
          <w:i/>
          <w:iCs/>
          <w:sz w:val="24"/>
          <w:szCs w:val="24"/>
        </w:rPr>
        <w:t>Održavanje </w:t>
      </w:r>
      <w:r w:rsidR="00F37DC9" w:rsidRPr="00732D11">
        <w:rPr>
          <w:rStyle w:val="Istaknuto"/>
          <w:rFonts w:ascii="Arial Narrow" w:hAnsi="Arial Narrow" w:cs="Arial"/>
          <w:sz w:val="24"/>
          <w:szCs w:val="24"/>
        </w:rPr>
        <w:t>građevina i uređaja javne namjene </w:t>
      </w:r>
      <w:r w:rsidR="00F37DC9" w:rsidRPr="00732D11">
        <w:rPr>
          <w:rFonts w:ascii="Arial Narrow" w:hAnsi="Arial Narrow" w:cs="Arial"/>
          <w:i/>
          <w:iCs/>
          <w:sz w:val="24"/>
          <w:szCs w:val="24"/>
        </w:rPr>
        <w:t>podrazumijeva se održavanje, popravci i čišćenje tih građevina, uređaja i predmeta.</w:t>
      </w:r>
    </w:p>
    <w:p w14:paraId="0E96FECF" w14:textId="77777777" w:rsidR="00F37DC9" w:rsidRPr="006B0B33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020BB7C4" w14:textId="15B9E2A1" w:rsidR="00285096" w:rsidRPr="00444509" w:rsidRDefault="00285096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444509">
        <w:rPr>
          <w:rFonts w:ascii="Arial Narrow" w:hAnsi="Arial Narrow"/>
          <w:i/>
          <w:sz w:val="24"/>
          <w:szCs w:val="24"/>
          <w:lang w:eastAsia="hr-HR"/>
        </w:rPr>
        <w:t xml:space="preserve">A 1005-06 Održavanje građevina javne odvodnje oborinskih voda </w:t>
      </w:r>
      <w:r w:rsidR="00F37DC9" w:rsidRPr="00444509">
        <w:rPr>
          <w:rFonts w:ascii="Arial Narrow" w:hAnsi="Arial Narrow"/>
          <w:i/>
          <w:sz w:val="24"/>
          <w:szCs w:val="24"/>
          <w:lang w:eastAsia="hr-HR"/>
        </w:rPr>
        <w:t xml:space="preserve">- </w:t>
      </w:r>
      <w:r w:rsidR="00F37DC9" w:rsidRPr="0044450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F37DC9" w:rsidRPr="0044450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F37DC9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F37DC9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F37DC9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3.318,07 eura </w:t>
      </w:r>
      <w:r w:rsidR="00F37DC9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kao i u projekcij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="00F37DC9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F37DC9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F37DC9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godinu.</w:t>
      </w:r>
      <w:r w:rsidR="00F37DC9" w:rsidRPr="00444509">
        <w:rPr>
          <w:rFonts w:ascii="Arial Narrow" w:hAnsi="Arial Narrow" w:cs="Arial"/>
          <w:i/>
          <w:iCs/>
          <w:sz w:val="24"/>
          <w:szCs w:val="24"/>
        </w:rPr>
        <w:t xml:space="preserve"> Održavanje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14:paraId="256CDBB2" w14:textId="77777777" w:rsidR="00F37DC9" w:rsidRPr="006B0B33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65144CC0" w14:textId="382EDF4A" w:rsidR="00F37DC9" w:rsidRPr="00732D11" w:rsidRDefault="00285096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732D11">
        <w:rPr>
          <w:rFonts w:ascii="Arial Narrow" w:hAnsi="Arial Narrow"/>
          <w:i/>
          <w:sz w:val="24"/>
          <w:szCs w:val="24"/>
          <w:lang w:eastAsia="hr-HR"/>
        </w:rPr>
        <w:t xml:space="preserve">A 1005-07 Održavanje javne rasvjete  - </w:t>
      </w:r>
      <w:r w:rsidRPr="00732D1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732D11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955EEB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955EEB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66.361,40 </w:t>
      </w:r>
      <w:r w:rsidR="00955EEB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eura </w:t>
      </w:r>
      <w:r w:rsidR="00955EEB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kao i u projekcij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="00955EEB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4. i 2025.</w:t>
      </w:r>
      <w:r w:rsidR="00955EEB" w:rsidRPr="00732D1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F37DC9" w:rsidRPr="00732D11">
        <w:rPr>
          <w:rFonts w:ascii="Arial Narrow" w:hAnsi="Arial Narrow" w:cs="Arial"/>
          <w:i/>
          <w:iCs/>
          <w:sz w:val="24"/>
          <w:szCs w:val="24"/>
        </w:rPr>
        <w:t xml:space="preserve">Održavanje javne rasvjete podrazumijeva radove nadzora, održavanja i troškova električne energije  instalacija javne rasvjete radi osiguranja rasvjetljavanje površina javne namjene. Redovnim održavanjem se uklanjaju kvarovi i zamjenjuju istrošeni dijelovi rasvjetnih tijela. </w:t>
      </w:r>
      <w:r w:rsidR="00955EEB" w:rsidRPr="00732D11">
        <w:rPr>
          <w:rFonts w:ascii="Arial Narrow" w:hAnsi="Arial Narrow" w:cs="Arial"/>
          <w:i/>
          <w:iCs/>
          <w:sz w:val="24"/>
          <w:szCs w:val="24"/>
        </w:rPr>
        <w:t>Kroz dvije proračunske godine planira se zamijeniti  sva dotrajala rasvjetna  tijela javne rasvjete</w:t>
      </w:r>
      <w:r w:rsidR="000748D2" w:rsidRPr="00732D11">
        <w:rPr>
          <w:rFonts w:ascii="Arial Narrow" w:hAnsi="Arial Narrow" w:cs="Arial"/>
          <w:i/>
          <w:iCs/>
          <w:sz w:val="24"/>
          <w:szCs w:val="24"/>
        </w:rPr>
        <w:t xml:space="preserve"> a</w:t>
      </w:r>
      <w:r w:rsidR="00955EEB" w:rsidRPr="00732D11">
        <w:rPr>
          <w:rFonts w:ascii="Arial Narrow" w:hAnsi="Arial Narrow" w:cs="Arial"/>
          <w:i/>
          <w:iCs/>
          <w:sz w:val="24"/>
          <w:szCs w:val="24"/>
        </w:rPr>
        <w:t xml:space="preserve"> sa tom zamjenom  smanji će se troškovi električne energije i održavanja javne rasvjete. </w:t>
      </w:r>
    </w:p>
    <w:p w14:paraId="1D9E346B" w14:textId="594DBE04" w:rsidR="00F37DC9" w:rsidRPr="006B0B33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167F94CB" w14:textId="353AB577" w:rsidR="00F37DC9" w:rsidRPr="00444509" w:rsidRDefault="00F37DC9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444509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1006 Održavanje ostale općinske infrastrukture </w:t>
      </w:r>
    </w:p>
    <w:p w14:paraId="17806F4E" w14:textId="77777777" w:rsidR="00F37DC9" w:rsidRPr="00444509" w:rsidRDefault="00F37DC9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14:paraId="17CA48B0" w14:textId="0163F86D" w:rsidR="00F37DC9" w:rsidRPr="00444509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  <w:r w:rsidRPr="00444509">
        <w:rPr>
          <w:rFonts w:ascii="Arial Narrow" w:hAnsi="Arial Narrow" w:cs="Arial"/>
          <w:i/>
          <w:iCs/>
          <w:sz w:val="24"/>
          <w:szCs w:val="24"/>
        </w:rPr>
        <w:lastRenderedPageBreak/>
        <w:t xml:space="preserve">A 1006-01Održavanje ostale općinske infrastrukture i opreme - </w:t>
      </w:r>
      <w:r w:rsidRPr="00444509">
        <w:rPr>
          <w:rFonts w:ascii="Arial Narrow" w:hAnsi="Arial Narrow"/>
          <w:i/>
          <w:sz w:val="24"/>
          <w:szCs w:val="24"/>
          <w:lang w:eastAsia="hr-HR"/>
        </w:rPr>
        <w:t xml:space="preserve"> </w:t>
      </w:r>
      <w:r w:rsidRPr="0044450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44450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6.636,15 eura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202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202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  <w:r w:rsidRPr="00444509">
        <w:rPr>
          <w:rFonts w:ascii="Arial Narrow" w:hAnsi="Arial Narrow" w:cs="Arial"/>
          <w:i/>
          <w:iCs/>
          <w:sz w:val="24"/>
          <w:szCs w:val="24"/>
        </w:rPr>
        <w:t xml:space="preserve">Održavanje ostale općinske infrastrukture i opreme odnosi se na održavanje svih ostalih općinskih uređaja i objekata koji su od lokalnog značaja a nisu komunalna infrastruktura. </w:t>
      </w:r>
    </w:p>
    <w:p w14:paraId="66456928" w14:textId="0FE01367" w:rsidR="00F37DC9" w:rsidRPr="00444509" w:rsidRDefault="00F37DC9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23090ADA" w14:textId="6577ACBF" w:rsidR="00FF5041" w:rsidRPr="00444509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44509">
        <w:rPr>
          <w:rFonts w:ascii="Arial Narrow" w:hAnsi="Arial Narrow" w:cs="Arial"/>
          <w:i/>
          <w:iCs/>
          <w:sz w:val="24"/>
          <w:szCs w:val="24"/>
        </w:rPr>
        <w:t xml:space="preserve">A 1006-02 Božićno uređenje općine - </w:t>
      </w:r>
      <w:r w:rsidRPr="0044450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44450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11.945,05 eura kao i u projekcijama za 2024. i 2025. godinu. 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Aktivnost se odnosi na montažu i demontažu božićnih ukrasa u iznosu od 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6.636,14 eura 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na izradu novih božićnih ukrasa u iznosu od 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11.945,05 eura. </w:t>
      </w:r>
    </w:p>
    <w:p w14:paraId="4173AB28" w14:textId="77777777" w:rsidR="00381F23" w:rsidRPr="006B0B33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279DF2A5" w14:textId="2508D567" w:rsidR="00381F23" w:rsidRPr="00444509" w:rsidRDefault="00381F23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444509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Program 1007 Zaštite okoliša </w:t>
      </w:r>
    </w:p>
    <w:p w14:paraId="5EEF9F17" w14:textId="29B72AEB" w:rsidR="00381F23" w:rsidRPr="00444509" w:rsidRDefault="00381F23" w:rsidP="00005F96">
      <w:pPr>
        <w:spacing w:after="0" w:line="240" w:lineRule="auto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</w:p>
    <w:p w14:paraId="02A8639A" w14:textId="68989A15" w:rsidR="00381F23" w:rsidRPr="00444509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44509">
        <w:rPr>
          <w:rFonts w:ascii="Arial Narrow" w:hAnsi="Arial Narrow" w:cs="Arial"/>
          <w:i/>
          <w:iCs/>
          <w:sz w:val="24"/>
          <w:szCs w:val="24"/>
        </w:rPr>
        <w:t xml:space="preserve">A 1007-01 Dezinfekcija, dezinsekcija i deratizacija – </w:t>
      </w:r>
      <w:r w:rsidRPr="0044450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44450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14.599,51 eura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</w:t>
      </w:r>
    </w:p>
    <w:p w14:paraId="59830CBD" w14:textId="2DDED8CC" w:rsidR="00381F23" w:rsidRPr="006B0B33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0D124E78" w14:textId="3656AFD9" w:rsidR="00381F23" w:rsidRPr="00444509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444509">
        <w:rPr>
          <w:rFonts w:ascii="Arial Narrow" w:hAnsi="Arial Narrow" w:cs="Arial"/>
          <w:i/>
          <w:iCs/>
          <w:sz w:val="24"/>
          <w:szCs w:val="24"/>
        </w:rPr>
        <w:t xml:space="preserve">A 1007-02 Sanacija komunalnog otpada – </w:t>
      </w:r>
      <w:r w:rsidRPr="00444509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444509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955EEB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76.315,62 eura</w:t>
      </w:r>
      <w:r w:rsidR="00975AE4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kao i u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projekcij</w:t>
      </w:r>
      <w:r w:rsidR="00975AE4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975AE4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202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975AE4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Rashodi se odnose na rad privremenog </w:t>
      </w:r>
      <w:proofErr w:type="spellStart"/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 u iznosu </w:t>
      </w:r>
      <w:r w:rsidR="00975AE4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71.006,70 eura</w:t>
      </w:r>
      <w:r w:rsidR="00975AE4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</w:t>
      </w:r>
      <w:r w:rsidR="00232E73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za sanaciju divljih deponija u iznosu 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2.654,46 eura</w:t>
      </w:r>
      <w:r w:rsidR="00975AE4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32E73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nabavu kamera za nadzor divljih deponija u iznosu </w:t>
      </w:r>
      <w:r w:rsidR="00975AE4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2.654,46 eura</w:t>
      </w:r>
      <w:r w:rsidR="00232E73" w:rsidRPr="00444509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</w:p>
    <w:p w14:paraId="0F15000C" w14:textId="5359094A" w:rsidR="00381F23" w:rsidRPr="006B0B33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7DC80253" w14:textId="55D5FB05" w:rsidR="00381F23" w:rsidRPr="00BC7DE0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BC7DE0">
        <w:rPr>
          <w:rFonts w:ascii="Arial Narrow" w:hAnsi="Arial Narrow" w:cs="Arial"/>
          <w:i/>
          <w:iCs/>
          <w:sz w:val="24"/>
          <w:szCs w:val="24"/>
        </w:rPr>
        <w:t xml:space="preserve">A 1007-03 Naknada za smanjenje komunalnog otpada – </w:t>
      </w:r>
      <w:r w:rsidRPr="00BC7DE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BC7DE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 iznosu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13.272,28 eura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projekcijama za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godinu.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3CC7692A" w14:textId="03C4E768" w:rsidR="00381F23" w:rsidRPr="00BC7DE0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</w:rPr>
      </w:pPr>
    </w:p>
    <w:p w14:paraId="765650C4" w14:textId="4C757199" w:rsidR="00381F23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BC7DE0">
        <w:rPr>
          <w:rFonts w:ascii="Arial Narrow" w:hAnsi="Arial Narrow" w:cs="Arial"/>
          <w:i/>
          <w:iCs/>
          <w:sz w:val="24"/>
          <w:szCs w:val="24"/>
        </w:rPr>
        <w:t xml:space="preserve">K 1007-04 izgradnja </w:t>
      </w:r>
      <w:proofErr w:type="spellStart"/>
      <w:r w:rsidRPr="00BC7DE0">
        <w:rPr>
          <w:rFonts w:ascii="Arial Narrow" w:hAnsi="Arial Narrow" w:cs="Arial"/>
          <w:i/>
          <w:iCs/>
          <w:sz w:val="24"/>
          <w:szCs w:val="24"/>
        </w:rPr>
        <w:t>reciklažnog</w:t>
      </w:r>
      <w:proofErr w:type="spellEnd"/>
      <w:r w:rsidRPr="00BC7DE0">
        <w:rPr>
          <w:rFonts w:ascii="Arial Narrow" w:hAnsi="Arial Narrow" w:cs="Arial"/>
          <w:i/>
          <w:iCs/>
          <w:sz w:val="24"/>
          <w:szCs w:val="24"/>
        </w:rPr>
        <w:t xml:space="preserve"> dvorišta - </w:t>
      </w:r>
      <w:r w:rsidRPr="00BC7DE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BC7DE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projekciji za 2024. godinu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ne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planiraju se 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za izgradnju </w:t>
      </w:r>
      <w:proofErr w:type="spellStart"/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 dok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projekciji za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 iznos od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265.445,62 eura.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Nakon izdavanja građevinske dozvole planirana je izgradnja </w:t>
      </w:r>
      <w:proofErr w:type="spellStart"/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reciklažnog</w:t>
      </w:r>
      <w:proofErr w:type="spellEnd"/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dvorišta. </w:t>
      </w:r>
    </w:p>
    <w:p w14:paraId="5093CA74" w14:textId="50CAB61B" w:rsidR="00627FF3" w:rsidRDefault="00627FF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3173"/>
        <w:gridCol w:w="1096"/>
        <w:gridCol w:w="1396"/>
      </w:tblGrid>
      <w:tr w:rsidR="00627FF3" w14:paraId="1779177F" w14:textId="77777777" w:rsidTr="00627FF3">
        <w:tc>
          <w:tcPr>
            <w:tcW w:w="3397" w:type="dxa"/>
            <w:shd w:val="clear" w:color="auto" w:fill="DBE5F1" w:themeFill="accent1" w:themeFillTint="33"/>
          </w:tcPr>
          <w:p w14:paraId="556316BE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3173" w:type="dxa"/>
            <w:shd w:val="clear" w:color="auto" w:fill="DBE5F1" w:themeFill="accent1" w:themeFillTint="33"/>
          </w:tcPr>
          <w:p w14:paraId="556C4ACB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096" w:type="dxa"/>
            <w:shd w:val="clear" w:color="auto" w:fill="DBE5F1" w:themeFill="accent1" w:themeFillTint="33"/>
          </w:tcPr>
          <w:p w14:paraId="367E2A6F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396" w:type="dxa"/>
            <w:shd w:val="clear" w:color="auto" w:fill="DBE5F1" w:themeFill="accent1" w:themeFillTint="33"/>
          </w:tcPr>
          <w:p w14:paraId="212EB240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627FF3" w14:paraId="35D461CA" w14:textId="77777777" w:rsidTr="00627FF3">
        <w:tc>
          <w:tcPr>
            <w:tcW w:w="3397" w:type="dxa"/>
            <w:shd w:val="clear" w:color="auto" w:fill="F2F2F2" w:themeFill="background1" w:themeFillShade="F2"/>
          </w:tcPr>
          <w:p w14:paraId="1B87193D" w14:textId="6D5CE016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.1. </w:t>
            </w:r>
            <w:r w:rsidRPr="00536BC6">
              <w:rPr>
                <w:rFonts w:ascii="Times New Roman" w:hAnsi="Times New Roman" w:cs="Times New Roman"/>
              </w:rPr>
              <w:t xml:space="preserve">Izgradnja </w:t>
            </w:r>
            <w:proofErr w:type="spellStart"/>
            <w:r w:rsidRPr="00536BC6">
              <w:rPr>
                <w:rFonts w:ascii="Times New Roman" w:hAnsi="Times New Roman" w:cs="Times New Roman"/>
              </w:rPr>
              <w:t>reciklažnog</w:t>
            </w:r>
            <w:proofErr w:type="spellEnd"/>
            <w:r w:rsidRPr="00536BC6">
              <w:rPr>
                <w:rFonts w:ascii="Times New Roman" w:hAnsi="Times New Roman" w:cs="Times New Roman"/>
              </w:rPr>
              <w:t xml:space="preserve"> dvorišta</w:t>
            </w:r>
          </w:p>
        </w:tc>
        <w:tc>
          <w:tcPr>
            <w:tcW w:w="3173" w:type="dxa"/>
            <w:shd w:val="clear" w:color="auto" w:fill="F2F2F2" w:themeFill="background1" w:themeFillShade="F2"/>
          </w:tcPr>
          <w:p w14:paraId="28DFF22F" w14:textId="77777777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Izgrađeno </w:t>
            </w:r>
            <w:proofErr w:type="spellStart"/>
            <w:r>
              <w:rPr>
                <w:rFonts w:ascii="Times New Roman" w:hAnsi="Times New Roman" w:cs="Times New Roman"/>
              </w:rPr>
              <w:t>reciklažno</w:t>
            </w:r>
            <w:proofErr w:type="spellEnd"/>
            <w:r>
              <w:rPr>
                <w:rFonts w:ascii="Times New Roman" w:hAnsi="Times New Roman" w:cs="Times New Roman"/>
              </w:rPr>
              <w:t xml:space="preserve"> dvorište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325AB151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6" w:type="dxa"/>
            <w:shd w:val="clear" w:color="auto" w:fill="F2F2F2" w:themeFill="background1" w:themeFillShade="F2"/>
          </w:tcPr>
          <w:p w14:paraId="5C514BC3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0BB90E37" w14:textId="77777777" w:rsidR="00627FF3" w:rsidRPr="00BC7DE0" w:rsidRDefault="00627FF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787770E7" w14:textId="193358B0" w:rsidR="00381F23" w:rsidRPr="006B0B33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55993ABA" w14:textId="64DBD1EF" w:rsidR="00381F23" w:rsidRPr="00BC7DE0" w:rsidRDefault="00381F2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BC7DE0">
        <w:rPr>
          <w:rFonts w:ascii="Arial Narrow" w:hAnsi="Arial Narrow" w:cs="Arial"/>
          <w:i/>
          <w:iCs/>
          <w:sz w:val="24"/>
          <w:szCs w:val="24"/>
        </w:rPr>
        <w:t xml:space="preserve">A 1007-05 Zaštite klime mora i tla - </w:t>
      </w:r>
      <w:r w:rsidRPr="00BC7DE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BC7DE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10.000  k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una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A8679A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Rashodi se odnose za mjerenje kakvoće mora. </w:t>
      </w:r>
    </w:p>
    <w:p w14:paraId="1C21FD08" w14:textId="77777777" w:rsidR="00381F23" w:rsidRPr="006B0B33" w:rsidRDefault="00381F23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</w:rPr>
      </w:pPr>
    </w:p>
    <w:p w14:paraId="394C18DA" w14:textId="77777777" w:rsidR="003D6E79" w:rsidRPr="00BC7DE0" w:rsidRDefault="003D6E79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BC7DE0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376240C8" w14:textId="75F14A87" w:rsidR="003D6E79" w:rsidRPr="00BC7DE0" w:rsidRDefault="003D6E79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BC7DE0">
        <w:rPr>
          <w:rFonts w:ascii="Arial Narrow" w:hAnsi="Arial Narrow"/>
          <w:i/>
          <w:sz w:val="24"/>
          <w:szCs w:val="24"/>
          <w:lang w:eastAsia="hr-HR"/>
        </w:rPr>
        <w:t>Zakon o komunalnom gospodarstvu, Zakon o vodama, Zakon o zaštiti voda, Zakon o zaštiti okoliša, Zakon o otpadu, Zakon o javnim cestama, Zakon o prostornom uređenju i gradnji, Zakon o lokalnoj i područnoj )regionalnoj samoupravi, Zakon o regionalnom razvoju, Statut Općine Bibinje</w:t>
      </w:r>
      <w:r w:rsidR="00A8679A" w:rsidRPr="00BC7DE0">
        <w:rPr>
          <w:rFonts w:ascii="Arial Narrow" w:hAnsi="Arial Narrow"/>
          <w:i/>
          <w:sz w:val="24"/>
          <w:szCs w:val="24"/>
          <w:lang w:eastAsia="hr-HR"/>
        </w:rPr>
        <w:t>, Program održavanja komunalne infrastrukture za 202</w:t>
      </w:r>
      <w:r w:rsidR="00BC7DE0">
        <w:rPr>
          <w:rFonts w:ascii="Arial Narrow" w:hAnsi="Arial Narrow"/>
          <w:i/>
          <w:sz w:val="24"/>
          <w:szCs w:val="24"/>
          <w:lang w:eastAsia="hr-HR"/>
        </w:rPr>
        <w:t>3</w:t>
      </w:r>
      <w:r w:rsidR="00A8679A" w:rsidRPr="00BC7DE0">
        <w:rPr>
          <w:rFonts w:ascii="Arial Narrow" w:hAnsi="Arial Narrow"/>
          <w:i/>
          <w:sz w:val="24"/>
          <w:szCs w:val="24"/>
          <w:lang w:eastAsia="hr-HR"/>
        </w:rPr>
        <w:t xml:space="preserve">. godinu </w:t>
      </w:r>
    </w:p>
    <w:p w14:paraId="54394209" w14:textId="16AB005A" w:rsidR="00232E73" w:rsidRPr="00BC7DE0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BC7DE0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Glava 010-05 Izgradnja objekata i uređaja komunalne infrastrukture i prostorno planski dokumenti </w:t>
      </w:r>
    </w:p>
    <w:p w14:paraId="41411DB1" w14:textId="5600871D" w:rsidR="00232E73" w:rsidRPr="00BC7DE0" w:rsidRDefault="00232E73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BC7DE0">
        <w:rPr>
          <w:rFonts w:ascii="Arial Narrow" w:hAnsi="Arial Narrow"/>
          <w:i/>
          <w:sz w:val="24"/>
          <w:szCs w:val="24"/>
          <w:lang w:eastAsia="hr-HR"/>
        </w:rPr>
        <w:t>Glava izgradnja objekata i uređaja komunalne infrastrukture i prostorno planski</w:t>
      </w:r>
      <w:r w:rsidRPr="00BC7DE0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  <w:r w:rsidRPr="00BC7DE0">
        <w:rPr>
          <w:rFonts w:ascii="Arial Narrow" w:hAnsi="Arial Narrow"/>
          <w:i/>
          <w:sz w:val="24"/>
          <w:szCs w:val="24"/>
          <w:lang w:eastAsia="hr-HR"/>
        </w:rPr>
        <w:t xml:space="preserve"> ima tri programa izgradnja objekata i uređaja  komunalne infrastrukture, izgradnja ostalih objekata i opreme i prostorno planski dokumenti. Cilj ove glave je izgradnja i  unapređenje komunalne infrastrukture, stvaranje boljih uvjeta života i rada mještana Bibinja, osiguranje preduvjeta za gospodarski razvoj.</w:t>
      </w:r>
    </w:p>
    <w:p w14:paraId="6D4C4AB5" w14:textId="18B847DF" w:rsidR="00232E73" w:rsidRPr="00BC7DE0" w:rsidRDefault="00232E73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  <w:r w:rsidRPr="00BC7DE0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Program 1008 Izgradnja objekata i uređaja komunalne infrastrukture </w:t>
      </w:r>
    </w:p>
    <w:p w14:paraId="70AA025C" w14:textId="2549E58D" w:rsidR="00232E73" w:rsidRDefault="00232E73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BC7DE0">
        <w:rPr>
          <w:rFonts w:ascii="Arial Narrow" w:hAnsi="Arial Narrow"/>
          <w:b/>
          <w:bCs/>
          <w:i/>
          <w:sz w:val="24"/>
          <w:szCs w:val="24"/>
          <w:lang w:eastAsia="hr-HR"/>
        </w:rPr>
        <w:lastRenderedPageBreak/>
        <w:t xml:space="preserve">K 1008-01 Izgradnja nerazvrstanih cesta - </w:t>
      </w:r>
      <w:r w:rsidRPr="00BC7DE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BC7DE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159.267,36 eura,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projekciji za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 je iznos od 92.905,97 eura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79.633,69 eura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planirana za izgradnju iznose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132.722,80 eura 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26.544,56 eura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osigurano za otkup zemljišta za širenje nerazvrstanih cesta.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38"/>
        <w:gridCol w:w="2249"/>
        <w:gridCol w:w="2237"/>
        <w:gridCol w:w="2238"/>
      </w:tblGrid>
      <w:tr w:rsidR="00F20058" w14:paraId="44DCD275" w14:textId="77777777" w:rsidTr="005D24DD">
        <w:tc>
          <w:tcPr>
            <w:tcW w:w="2798" w:type="dxa"/>
            <w:shd w:val="clear" w:color="auto" w:fill="DBE5F1" w:themeFill="accent1" w:themeFillTint="33"/>
          </w:tcPr>
          <w:p w14:paraId="182AD929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2798" w:type="dxa"/>
            <w:shd w:val="clear" w:color="auto" w:fill="DBE5F1" w:themeFill="accent1" w:themeFillTint="33"/>
          </w:tcPr>
          <w:p w14:paraId="3ED9BDA1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2798" w:type="dxa"/>
            <w:shd w:val="clear" w:color="auto" w:fill="DBE5F1" w:themeFill="accent1" w:themeFillTint="33"/>
          </w:tcPr>
          <w:p w14:paraId="424CAB1F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2799" w:type="dxa"/>
            <w:shd w:val="clear" w:color="auto" w:fill="DBE5F1" w:themeFill="accent1" w:themeFillTint="33"/>
          </w:tcPr>
          <w:p w14:paraId="124D91BE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F20058" w14:paraId="0CFEBF4D" w14:textId="77777777" w:rsidTr="005D24DD">
        <w:tc>
          <w:tcPr>
            <w:tcW w:w="2798" w:type="dxa"/>
            <w:shd w:val="clear" w:color="auto" w:fill="F2F2F2" w:themeFill="background1" w:themeFillShade="F2"/>
          </w:tcPr>
          <w:p w14:paraId="6682A154" w14:textId="3CE3737D" w:rsidR="00F20058" w:rsidRDefault="00F20058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7C5AC6">
              <w:rPr>
                <w:rFonts w:ascii="Times New Roman" w:hAnsi="Times New Roman" w:cs="Times New Roman"/>
              </w:rPr>
              <w:t>1. Izgradnja nerazvrstanih cesta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3C73F0A7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77D5E">
              <w:rPr>
                <w:rFonts w:ascii="Times New Roman" w:hAnsi="Times New Roman" w:cs="Times New Roman"/>
              </w:rPr>
              <w:t>Izgrađene ceste</w:t>
            </w:r>
          </w:p>
        </w:tc>
        <w:tc>
          <w:tcPr>
            <w:tcW w:w="2798" w:type="dxa"/>
            <w:shd w:val="clear" w:color="auto" w:fill="F2F2F2" w:themeFill="background1" w:themeFillShade="F2"/>
          </w:tcPr>
          <w:p w14:paraId="46E4080A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9" w:type="dxa"/>
            <w:shd w:val="clear" w:color="auto" w:fill="F2F2F2" w:themeFill="background1" w:themeFillShade="F2"/>
          </w:tcPr>
          <w:p w14:paraId="35154B83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 km</w:t>
            </w:r>
          </w:p>
        </w:tc>
      </w:tr>
    </w:tbl>
    <w:p w14:paraId="1EF81942" w14:textId="77777777" w:rsidR="00F20058" w:rsidRPr="00BC7DE0" w:rsidRDefault="00F20058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</w:p>
    <w:p w14:paraId="23C017B4" w14:textId="727AA39B" w:rsidR="00232E73" w:rsidRDefault="00232E73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BC7DE0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1008-02 Izgradnja javne rasvjete – </w:t>
      </w:r>
      <w:r w:rsidRPr="00BC7DE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BC7DE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112.814,39 eura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projekciji za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33.180,71 eura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planirana za izgradnju javne rasvjete iznose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33.180,70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79.633,69 eura 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osigurano za zamjenu dotrajalih rasvjetnih tijela</w:t>
      </w:r>
      <w:r w:rsidR="00384020" w:rsidRPr="006B0B33"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1134"/>
        <w:gridCol w:w="1270"/>
      </w:tblGrid>
      <w:tr w:rsidR="00F20058" w14:paraId="30C3F0DF" w14:textId="77777777" w:rsidTr="00F20058">
        <w:tc>
          <w:tcPr>
            <w:tcW w:w="2830" w:type="dxa"/>
            <w:shd w:val="clear" w:color="auto" w:fill="DBE5F1" w:themeFill="accent1" w:themeFillTint="33"/>
          </w:tcPr>
          <w:p w14:paraId="61C89D6F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14:paraId="684CA6F4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5FADD39A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270" w:type="dxa"/>
            <w:shd w:val="clear" w:color="auto" w:fill="DBE5F1" w:themeFill="accent1" w:themeFillTint="33"/>
          </w:tcPr>
          <w:p w14:paraId="2A9BA98B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F20058" w14:paraId="1DFCECE1" w14:textId="77777777" w:rsidTr="00F20058">
        <w:tc>
          <w:tcPr>
            <w:tcW w:w="2830" w:type="dxa"/>
          </w:tcPr>
          <w:p w14:paraId="6CD294D5" w14:textId="2DF58CED" w:rsidR="00F20058" w:rsidRDefault="00F20058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7C5AC6">
              <w:rPr>
                <w:rFonts w:ascii="Times New Roman" w:hAnsi="Times New Roman" w:cs="Times New Roman"/>
              </w:rPr>
              <w:t>. Izgradnja javne rasvjete i zamjena dotrajalih rasvjetnih tijela</w:t>
            </w:r>
          </w:p>
        </w:tc>
        <w:tc>
          <w:tcPr>
            <w:tcW w:w="3828" w:type="dxa"/>
          </w:tcPr>
          <w:p w14:paraId="65A49282" w14:textId="77777777" w:rsidR="00F20058" w:rsidRDefault="00F20058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766CF">
              <w:rPr>
                <w:rFonts w:ascii="Times New Roman" w:hAnsi="Times New Roman" w:cs="Times New Roman"/>
              </w:rPr>
              <w:t>Izgrađena javna rasvjeta i zamijenjena dotrajala rasvjetna tijela</w:t>
            </w:r>
          </w:p>
        </w:tc>
        <w:tc>
          <w:tcPr>
            <w:tcW w:w="1134" w:type="dxa"/>
          </w:tcPr>
          <w:p w14:paraId="75956B0D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</w:tcPr>
          <w:p w14:paraId="0038CC29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</w:tbl>
    <w:p w14:paraId="65E3733B" w14:textId="77777777" w:rsidR="00F20058" w:rsidRPr="006B0B33" w:rsidRDefault="00F20058" w:rsidP="00005F96">
      <w:pPr>
        <w:spacing w:line="240" w:lineRule="auto"/>
        <w:jc w:val="both"/>
        <w:rPr>
          <w:rFonts w:ascii="Arial Narrow" w:hAnsi="Arial Narrow"/>
          <w:b/>
          <w:bCs/>
          <w:i/>
          <w:color w:val="FF0000"/>
          <w:sz w:val="24"/>
          <w:szCs w:val="24"/>
          <w:lang w:eastAsia="hr-HR"/>
        </w:rPr>
      </w:pPr>
    </w:p>
    <w:p w14:paraId="00D6EB72" w14:textId="372FC36C" w:rsidR="00232E73" w:rsidRDefault="00232E73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BC7DE0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1008-03 Izgradnja javnih površina – </w:t>
      </w:r>
      <w:r w:rsidRPr="00BC7DE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BC7DE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252.173,33 eura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331.807,00 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eura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u projekciji za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252.173,32 eura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Aktivnost se odnosi na izgradnju, rekonstrukciju i uređenje javnih površina. U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godini planira se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nastavak 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uređenje djela Obale Alfreda Lisice,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punionica za električne automobile,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sanacija sportskog centra Crljenica, uređenje Trga Tome Bulića te</w:t>
      </w:r>
      <w:r w:rsidR="008B2E7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izgradnju vježbališta na otvorenome pored nogometnog igrališta Franka Lisice. 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263"/>
        <w:gridCol w:w="4395"/>
        <w:gridCol w:w="1134"/>
        <w:gridCol w:w="1275"/>
      </w:tblGrid>
      <w:tr w:rsidR="001B790B" w14:paraId="21212D69" w14:textId="77777777" w:rsidTr="00F20058">
        <w:tc>
          <w:tcPr>
            <w:tcW w:w="2263" w:type="dxa"/>
            <w:shd w:val="clear" w:color="auto" w:fill="8DB3E2" w:themeFill="text2" w:themeFillTint="66"/>
          </w:tcPr>
          <w:p w14:paraId="59D05A68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4395" w:type="dxa"/>
            <w:shd w:val="clear" w:color="auto" w:fill="8DB3E2" w:themeFill="text2" w:themeFillTint="66"/>
          </w:tcPr>
          <w:p w14:paraId="29293720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2D349D52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14:paraId="56840C55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1B790B" w14:paraId="44C57663" w14:textId="77777777" w:rsidTr="00F20058">
        <w:tc>
          <w:tcPr>
            <w:tcW w:w="2263" w:type="dxa"/>
            <w:shd w:val="clear" w:color="auto" w:fill="F2F2F2" w:themeFill="background1" w:themeFillShade="F2"/>
          </w:tcPr>
          <w:p w14:paraId="10D7DB5B" w14:textId="77777777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01D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DE01D7">
              <w:rPr>
                <w:rFonts w:ascii="Times New Roman" w:hAnsi="Times New Roman" w:cs="Times New Roman"/>
              </w:rPr>
              <w:t xml:space="preserve"> Uređenje dijela obale Alfreda Lisice</w:t>
            </w:r>
          </w:p>
          <w:p w14:paraId="4406ED1A" w14:textId="77777777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58C2DD61" w14:textId="77777777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F43D1">
              <w:rPr>
                <w:rFonts w:ascii="Times New Roman" w:hAnsi="Times New Roman" w:cs="Times New Roman"/>
              </w:rPr>
              <w:t>Uređena šetnica uz more,</w:t>
            </w:r>
            <w:r>
              <w:rPr>
                <w:rFonts w:ascii="Times New Roman" w:hAnsi="Times New Roman" w:cs="Times New Roman"/>
              </w:rPr>
              <w:t xml:space="preserve"> uređenje zelenih površina, uređenje parkinga,</w:t>
            </w:r>
            <w:r w:rsidRPr="00BF43D1">
              <w:rPr>
                <w:rFonts w:ascii="Times New Roman" w:hAnsi="Times New Roman" w:cs="Times New Roman"/>
              </w:rPr>
              <w:t xml:space="preserve"> postavljene klupe i koševi za otpatke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6B3B166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6A963C1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790B" w14:paraId="68059BDF" w14:textId="77777777" w:rsidTr="00F20058">
        <w:tc>
          <w:tcPr>
            <w:tcW w:w="2263" w:type="dxa"/>
            <w:shd w:val="clear" w:color="auto" w:fill="F2F2F2" w:themeFill="background1" w:themeFillShade="F2"/>
          </w:tcPr>
          <w:p w14:paraId="31D51BA4" w14:textId="480A84EB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0058">
              <w:rPr>
                <w:rFonts w:ascii="Times New Roman" w:hAnsi="Times New Roman" w:cs="Times New Roman"/>
              </w:rPr>
              <w:t>2</w:t>
            </w:r>
            <w:r w:rsidRPr="00DA35C3">
              <w:rPr>
                <w:rFonts w:ascii="Times New Roman" w:hAnsi="Times New Roman" w:cs="Times New Roman"/>
              </w:rPr>
              <w:t>. Sanacija sportskog centra Crljenica</w:t>
            </w:r>
          </w:p>
          <w:p w14:paraId="579222F1" w14:textId="77777777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1C535284" w14:textId="77777777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1BD7">
              <w:rPr>
                <w:rFonts w:ascii="Times New Roman" w:hAnsi="Times New Roman" w:cs="Times New Roman"/>
              </w:rPr>
              <w:t>Opremljen prostor za iznajmljivanje i obnova i oprema svlačionica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391590F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A127CC0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790B" w14:paraId="6826C705" w14:textId="77777777" w:rsidTr="00F20058">
        <w:tc>
          <w:tcPr>
            <w:tcW w:w="2263" w:type="dxa"/>
            <w:shd w:val="clear" w:color="auto" w:fill="F2F2F2" w:themeFill="background1" w:themeFillShade="F2"/>
          </w:tcPr>
          <w:p w14:paraId="3A39AA54" w14:textId="6E22B626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0058">
              <w:rPr>
                <w:rFonts w:ascii="Times New Roman" w:hAnsi="Times New Roman" w:cs="Times New Roman"/>
              </w:rPr>
              <w:t>3</w:t>
            </w:r>
            <w:r w:rsidRPr="008B42F0">
              <w:rPr>
                <w:rFonts w:ascii="Times New Roman" w:hAnsi="Times New Roman" w:cs="Times New Roman"/>
              </w:rPr>
              <w:t>. Uređenje trga Tome Bulića</w:t>
            </w:r>
          </w:p>
          <w:p w14:paraId="51483D12" w14:textId="77777777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5B5BAC3C" w14:textId="77777777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11BD7">
              <w:rPr>
                <w:rFonts w:ascii="Times New Roman" w:hAnsi="Times New Roman" w:cs="Times New Roman"/>
              </w:rPr>
              <w:t>Asfaltiran trg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6EB6BB0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08F1C5F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790B" w14:paraId="5ED65D83" w14:textId="77777777" w:rsidTr="00F20058">
        <w:tc>
          <w:tcPr>
            <w:tcW w:w="2263" w:type="dxa"/>
            <w:shd w:val="clear" w:color="auto" w:fill="F2F2F2" w:themeFill="background1" w:themeFillShade="F2"/>
          </w:tcPr>
          <w:p w14:paraId="32ADF8F6" w14:textId="184D8C39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0058">
              <w:rPr>
                <w:rFonts w:ascii="Times New Roman" w:hAnsi="Times New Roman" w:cs="Times New Roman"/>
              </w:rPr>
              <w:t>4</w:t>
            </w:r>
            <w:r w:rsidRPr="008B42F0">
              <w:rPr>
                <w:rFonts w:ascii="Times New Roman" w:hAnsi="Times New Roman" w:cs="Times New Roman"/>
              </w:rPr>
              <w:t>. Uređenje dijela trga sv. Roka</w:t>
            </w:r>
          </w:p>
          <w:p w14:paraId="5734CFA8" w14:textId="77777777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200F3527" w14:textId="77777777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1762">
              <w:rPr>
                <w:rFonts w:ascii="Times New Roman" w:hAnsi="Times New Roman" w:cs="Times New Roman"/>
              </w:rPr>
              <w:t>Popločan dio trga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276D9D6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48F90DB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790B" w14:paraId="0FAF69FD" w14:textId="77777777" w:rsidTr="00F20058">
        <w:tc>
          <w:tcPr>
            <w:tcW w:w="2263" w:type="dxa"/>
            <w:shd w:val="clear" w:color="auto" w:fill="F2F2F2" w:themeFill="background1" w:themeFillShade="F2"/>
          </w:tcPr>
          <w:p w14:paraId="60CE4DA5" w14:textId="618936E4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F20058">
              <w:rPr>
                <w:rFonts w:ascii="Times New Roman" w:hAnsi="Times New Roman" w:cs="Times New Roman"/>
              </w:rPr>
              <w:t>5</w:t>
            </w:r>
            <w:r w:rsidRPr="008B42F0">
              <w:rPr>
                <w:rFonts w:ascii="Times New Roman" w:hAnsi="Times New Roman" w:cs="Times New Roman"/>
              </w:rPr>
              <w:t xml:space="preserve">. Obnova igrališta </w:t>
            </w:r>
            <w:proofErr w:type="spellStart"/>
            <w:r w:rsidRPr="008B42F0">
              <w:rPr>
                <w:rFonts w:ascii="Times New Roman" w:hAnsi="Times New Roman" w:cs="Times New Roman"/>
              </w:rPr>
              <w:t>Režani</w:t>
            </w:r>
            <w:proofErr w:type="spellEnd"/>
          </w:p>
          <w:p w14:paraId="658591B9" w14:textId="77777777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50345DCB" w14:textId="77777777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1762">
              <w:rPr>
                <w:rFonts w:ascii="Times New Roman" w:hAnsi="Times New Roman" w:cs="Times New Roman"/>
              </w:rPr>
              <w:t>Obnovljeno i uređeno nogometno i košarkaško igralište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FF0AB1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A49E8E3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790B" w14:paraId="07BD73FD" w14:textId="77777777" w:rsidTr="00F20058">
        <w:tc>
          <w:tcPr>
            <w:tcW w:w="2263" w:type="dxa"/>
            <w:shd w:val="clear" w:color="auto" w:fill="F2F2F2" w:themeFill="background1" w:themeFillShade="F2"/>
          </w:tcPr>
          <w:p w14:paraId="5781D1F8" w14:textId="25C7999E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0058">
              <w:rPr>
                <w:rFonts w:ascii="Times New Roman" w:hAnsi="Times New Roman" w:cs="Times New Roman"/>
              </w:rPr>
              <w:t>6</w:t>
            </w:r>
            <w:r w:rsidRPr="00025311">
              <w:rPr>
                <w:rFonts w:ascii="Times New Roman" w:hAnsi="Times New Roman" w:cs="Times New Roman"/>
              </w:rPr>
              <w:t>. Vidikovci</w:t>
            </w:r>
          </w:p>
          <w:p w14:paraId="2A6106BD" w14:textId="77777777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674C4CDC" w14:textId="77777777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7FE5">
              <w:rPr>
                <w:rFonts w:ascii="Times New Roman" w:hAnsi="Times New Roman" w:cs="Times New Roman"/>
              </w:rPr>
              <w:t>Sređeni putevi, postavljene klupe, stolovi, sprave za vježbanje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52D89B5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F08D345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790B" w14:paraId="1D7AAAE8" w14:textId="77777777" w:rsidTr="00F20058">
        <w:tc>
          <w:tcPr>
            <w:tcW w:w="2263" w:type="dxa"/>
            <w:shd w:val="clear" w:color="auto" w:fill="F2F2F2" w:themeFill="background1" w:themeFillShade="F2"/>
          </w:tcPr>
          <w:p w14:paraId="0A17764C" w14:textId="0C178F9E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0058">
              <w:rPr>
                <w:rFonts w:ascii="Times New Roman" w:hAnsi="Times New Roman" w:cs="Times New Roman"/>
              </w:rPr>
              <w:t>7</w:t>
            </w:r>
            <w:r w:rsidRPr="00025311">
              <w:rPr>
                <w:rFonts w:ascii="Times New Roman" w:hAnsi="Times New Roman" w:cs="Times New Roman"/>
              </w:rPr>
              <w:t>. Punionica za električna vozila</w:t>
            </w:r>
          </w:p>
          <w:p w14:paraId="4121FCBA" w14:textId="77777777" w:rsidR="001B790B" w:rsidRPr="00025311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2F2F2" w:themeFill="background1" w:themeFillShade="F2"/>
          </w:tcPr>
          <w:p w14:paraId="4FE95179" w14:textId="77777777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7FE5">
              <w:rPr>
                <w:rFonts w:ascii="Times New Roman" w:hAnsi="Times New Roman" w:cs="Times New Roman"/>
              </w:rPr>
              <w:t>Postavljena punionica za električna vozila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4E769FF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CDA29B5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790B" w14:paraId="77EB280B" w14:textId="77777777" w:rsidTr="00F20058">
        <w:tc>
          <w:tcPr>
            <w:tcW w:w="2263" w:type="dxa"/>
            <w:shd w:val="clear" w:color="auto" w:fill="F2F2F2" w:themeFill="background1" w:themeFillShade="F2"/>
          </w:tcPr>
          <w:p w14:paraId="05FB4706" w14:textId="71CE8902" w:rsidR="001B790B" w:rsidRPr="00025311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0058">
              <w:rPr>
                <w:rFonts w:ascii="Times New Roman" w:hAnsi="Times New Roman" w:cs="Times New Roman"/>
              </w:rPr>
              <w:t>8</w:t>
            </w:r>
            <w:r w:rsidRPr="00E170A2">
              <w:rPr>
                <w:rFonts w:ascii="Times New Roman" w:hAnsi="Times New Roman" w:cs="Times New Roman"/>
              </w:rPr>
              <w:t xml:space="preserve">. Uređenje obalnog pojasa (ul. </w:t>
            </w:r>
            <w:proofErr w:type="spellStart"/>
            <w:r w:rsidRPr="00E170A2">
              <w:rPr>
                <w:rFonts w:ascii="Times New Roman" w:hAnsi="Times New Roman" w:cs="Times New Roman"/>
              </w:rPr>
              <w:t>Šulterova</w:t>
            </w:r>
            <w:proofErr w:type="spellEnd"/>
            <w:r w:rsidRPr="00E170A2">
              <w:rPr>
                <w:rFonts w:ascii="Times New Roman" w:hAnsi="Times New Roman" w:cs="Times New Roman"/>
              </w:rPr>
              <w:t xml:space="preserve"> i Branimirova)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13E06243" w14:textId="77777777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27FE5">
              <w:rPr>
                <w:rFonts w:ascii="Times New Roman" w:hAnsi="Times New Roman" w:cs="Times New Roman"/>
              </w:rPr>
              <w:t>Uređena šetnica, postavljena javna rasvjeta, postavljene klupe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7FE5">
              <w:rPr>
                <w:rFonts w:ascii="Times New Roman" w:hAnsi="Times New Roman" w:cs="Times New Roman"/>
              </w:rPr>
              <w:t>koševi za otpatke</w:t>
            </w:r>
            <w:r>
              <w:rPr>
                <w:rFonts w:ascii="Times New Roman" w:hAnsi="Times New Roman" w:cs="Times New Roman"/>
              </w:rPr>
              <w:t>, izgradnja rampe za invalide, izgradnja odbojkaškog igrališta na pijesku.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22656D8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3DE6048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 km</w:t>
            </w:r>
          </w:p>
        </w:tc>
      </w:tr>
      <w:tr w:rsidR="001B790B" w:rsidRPr="00B64DF3" w14:paraId="47941CE6" w14:textId="77777777" w:rsidTr="00F20058">
        <w:tc>
          <w:tcPr>
            <w:tcW w:w="2263" w:type="dxa"/>
            <w:shd w:val="clear" w:color="auto" w:fill="F2F2F2" w:themeFill="background1" w:themeFillShade="F2"/>
          </w:tcPr>
          <w:p w14:paraId="136C279C" w14:textId="765F2069" w:rsidR="001B790B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005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 Stvaranje uvjeta za izgradnju marina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373837A8" w14:textId="77777777" w:rsidR="001B790B" w:rsidRPr="00227FE5" w:rsidRDefault="001B790B" w:rsidP="001B79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Izdane koncesije za izgradnju novih marina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2BBF36A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F75D2A4" w14:textId="77777777" w:rsidR="001B790B" w:rsidRDefault="001B790B" w:rsidP="001B79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3E68E971" w14:textId="77777777" w:rsidR="001B790B" w:rsidRPr="00BC7DE0" w:rsidRDefault="001B790B" w:rsidP="00005F96">
      <w:pPr>
        <w:spacing w:line="240" w:lineRule="auto"/>
        <w:jc w:val="both"/>
        <w:rPr>
          <w:rFonts w:ascii="Arial Narrow" w:hAnsi="Arial Narrow"/>
          <w:b/>
          <w:bCs/>
          <w:i/>
          <w:sz w:val="24"/>
          <w:szCs w:val="24"/>
          <w:lang w:eastAsia="hr-HR"/>
        </w:rPr>
      </w:pPr>
    </w:p>
    <w:p w14:paraId="2A32EAB0" w14:textId="2CD8C104" w:rsidR="00232E73" w:rsidRPr="00BC7DE0" w:rsidRDefault="00232E73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BC7DE0">
        <w:rPr>
          <w:rFonts w:ascii="Arial Narrow" w:hAnsi="Arial Narrow"/>
          <w:b/>
          <w:bCs/>
          <w:i/>
          <w:sz w:val="24"/>
          <w:szCs w:val="24"/>
          <w:lang w:eastAsia="hr-HR"/>
        </w:rPr>
        <w:t xml:space="preserve">K 1008-04 Izgradnja groblja - </w:t>
      </w:r>
      <w:r w:rsidRPr="00BC7DE0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BC7DE0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13.272,28 eura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384020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godinu.</w:t>
      </w:r>
      <w:r w:rsidR="00564D4C" w:rsidRPr="00BC7DE0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1E062C83" w14:textId="402C2BED" w:rsidR="00564D4C" w:rsidRDefault="00564D4C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D361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1009 Izgradnja ostalih objekata i opreme - </w:t>
      </w:r>
      <w:r w:rsidRPr="009D361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D361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4020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 iznosu</w:t>
      </w:r>
      <w:r w:rsidR="00384020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119.450,53 eura</w:t>
      </w:r>
      <w:r w:rsidR="00384020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75.652,00 eura</w:t>
      </w:r>
      <w:r w:rsidR="00384020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57.070,81 eura</w:t>
      </w:r>
      <w:r w:rsidR="006A3E4B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Program se odnosi na izgradnju kanalizacijske mreže u iznosu 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26.544,56 eura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izgradnja vodovodne mreže u iznosu 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39.816,84 eura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 uređenje zgrade općine u iznosu 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13.272,28 eura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uređenje Doma kulture u iznosu 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19.908,42 eura, otkup zemljišta za izgradnju u iznosu od 17.253,97 eura </w:t>
      </w:r>
      <w:r w:rsidR="006A3E4B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izgradnja i nabave ostale opreme od lokalnog značaja u iznosu </w:t>
      </w:r>
      <w:r w:rsidR="006A3E4B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2.654,46 eura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8B2E70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projekciji za 2023. godinu bilježimo rast ovog programa zbog planirane energetske obnove općinske zgrade.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263"/>
        <w:gridCol w:w="4395"/>
        <w:gridCol w:w="1134"/>
        <w:gridCol w:w="1275"/>
      </w:tblGrid>
      <w:tr w:rsidR="00F20058" w14:paraId="543E91CD" w14:textId="77777777" w:rsidTr="00F20058">
        <w:tc>
          <w:tcPr>
            <w:tcW w:w="2263" w:type="dxa"/>
            <w:shd w:val="clear" w:color="auto" w:fill="8DB3E2" w:themeFill="text2" w:themeFillTint="66"/>
          </w:tcPr>
          <w:p w14:paraId="141E5DFC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4395" w:type="dxa"/>
            <w:shd w:val="clear" w:color="auto" w:fill="8DB3E2" w:themeFill="text2" w:themeFillTint="66"/>
          </w:tcPr>
          <w:p w14:paraId="6C084245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14:paraId="13E333FA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275" w:type="dxa"/>
            <w:shd w:val="clear" w:color="auto" w:fill="8DB3E2" w:themeFill="text2" w:themeFillTint="66"/>
          </w:tcPr>
          <w:p w14:paraId="0E4DA84F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F20058" w14:paraId="58E58CC0" w14:textId="77777777" w:rsidTr="00F20058">
        <w:tc>
          <w:tcPr>
            <w:tcW w:w="2263" w:type="dxa"/>
          </w:tcPr>
          <w:p w14:paraId="5F1D059A" w14:textId="47C77F20" w:rsidR="00F20058" w:rsidRDefault="00F20058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54DD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  <w:r w:rsidRPr="00054DD9">
              <w:rPr>
                <w:rFonts w:ascii="Times New Roman" w:hAnsi="Times New Roman" w:cs="Times New Roman"/>
              </w:rPr>
              <w:t xml:space="preserve"> Izgradnja vodovodne mreže</w:t>
            </w:r>
          </w:p>
        </w:tc>
        <w:tc>
          <w:tcPr>
            <w:tcW w:w="4395" w:type="dxa"/>
          </w:tcPr>
          <w:p w14:paraId="776CDC27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766CF">
              <w:rPr>
                <w:rFonts w:ascii="Times New Roman" w:hAnsi="Times New Roman" w:cs="Times New Roman"/>
              </w:rPr>
              <w:t>Izgrađena i rekonstruirana  vodovodna mreža</w:t>
            </w:r>
          </w:p>
        </w:tc>
        <w:tc>
          <w:tcPr>
            <w:tcW w:w="1134" w:type="dxa"/>
          </w:tcPr>
          <w:p w14:paraId="2646C3FF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03D9E2FC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km</w:t>
            </w:r>
          </w:p>
        </w:tc>
      </w:tr>
      <w:tr w:rsidR="00F20058" w14:paraId="37721D71" w14:textId="77777777" w:rsidTr="00F20058">
        <w:tc>
          <w:tcPr>
            <w:tcW w:w="2263" w:type="dxa"/>
          </w:tcPr>
          <w:p w14:paraId="5610C4D9" w14:textId="46EA0196" w:rsidR="00F20058" w:rsidRPr="00054DD9" w:rsidRDefault="00F20058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054DD9">
              <w:rPr>
                <w:rFonts w:ascii="Times New Roman" w:hAnsi="Times New Roman" w:cs="Times New Roman"/>
              </w:rPr>
              <w:t>. Izgradnja kanalizacijske mreže</w:t>
            </w:r>
          </w:p>
        </w:tc>
        <w:tc>
          <w:tcPr>
            <w:tcW w:w="4395" w:type="dxa"/>
          </w:tcPr>
          <w:p w14:paraId="5C5C9A3D" w14:textId="77777777" w:rsidR="00F20058" w:rsidRDefault="00F20058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D78A7">
              <w:rPr>
                <w:rFonts w:ascii="Times New Roman" w:hAnsi="Times New Roman" w:cs="Times New Roman"/>
              </w:rPr>
              <w:t>Izgrađena  kanalizacijska mreža</w:t>
            </w:r>
          </w:p>
        </w:tc>
        <w:tc>
          <w:tcPr>
            <w:tcW w:w="1134" w:type="dxa"/>
          </w:tcPr>
          <w:p w14:paraId="6795F518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7EE878E0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km</w:t>
            </w:r>
          </w:p>
        </w:tc>
      </w:tr>
    </w:tbl>
    <w:p w14:paraId="799DF60A" w14:textId="77777777" w:rsidR="00F20058" w:rsidRPr="009D361B" w:rsidRDefault="00F20058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6AB8E74C" w14:textId="6CCF88EB" w:rsidR="00564D4C" w:rsidRPr="009D361B" w:rsidRDefault="00564D4C" w:rsidP="00005F96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9D361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1010 Prostorno planski dokumenti </w:t>
      </w:r>
    </w:p>
    <w:p w14:paraId="741800E3" w14:textId="09C527B3" w:rsidR="00564D4C" w:rsidRPr="009D361B" w:rsidRDefault="00564D4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1010-0</w:t>
      </w:r>
      <w:r w:rsidR="006A3E4B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Katastarska izmjera - </w:t>
      </w:r>
      <w:r w:rsidRPr="009D361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9D361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D361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6A3E4B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6A3E4B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13.272,28 </w:t>
      </w:r>
      <w:r w:rsidR="006A3E4B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eura</w:t>
      </w:r>
      <w:r w:rsidR="006A3E4B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projekciji za 202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6A3E4B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6A3E4B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26.544,56 eura</w:t>
      </w:r>
      <w:r w:rsidR="006A3E4B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Namjena ove aktivnosti je rješavanje katastarskih knjiga na području Općine Bibinje. </w:t>
      </w:r>
    </w:p>
    <w:p w14:paraId="76F41F56" w14:textId="0E630E65" w:rsidR="00564D4C" w:rsidRPr="009D361B" w:rsidRDefault="00564D4C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2CA98BD8" w14:textId="274706E6" w:rsidR="00564D4C" w:rsidRPr="009D361B" w:rsidRDefault="006A3E4B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</w:t>
      </w:r>
      <w:r w:rsidR="00564D4C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1010-0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</w:t>
      </w:r>
      <w:r w:rsidR="00564D4C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Prostorno i urbanističko planiranje -</w:t>
      </w:r>
      <w:r w:rsidR="00556EE3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64D4C" w:rsidRPr="009D361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="00564D4C" w:rsidRPr="009D361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564D4C" w:rsidRPr="009D361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564D4C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564D4C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="00564D4C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94.233,19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64D4C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564D4C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67.688,63 eura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564D4C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</w:t>
      </w:r>
      <w:r w:rsidR="00564D4C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>za 202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564D4C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80.960,91 eura</w:t>
      </w:r>
      <w:r w:rsidR="00564D4C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556EE3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Namjena ove aktivnosti je izrada prostorno planskih dokumenata općine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priprema i izrada projektne dokumentacije. </w:t>
      </w:r>
    </w:p>
    <w:p w14:paraId="37DDA2BC" w14:textId="597D0359" w:rsidR="00556EE3" w:rsidRDefault="00556EE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70"/>
        <w:gridCol w:w="4568"/>
        <w:gridCol w:w="1096"/>
        <w:gridCol w:w="1128"/>
      </w:tblGrid>
      <w:tr w:rsidR="00F20058" w14:paraId="1B98F98A" w14:textId="77777777" w:rsidTr="00F20058">
        <w:tc>
          <w:tcPr>
            <w:tcW w:w="2294" w:type="dxa"/>
            <w:shd w:val="clear" w:color="auto" w:fill="DBE5F1" w:themeFill="accent1" w:themeFillTint="33"/>
          </w:tcPr>
          <w:p w14:paraId="24DE1496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4647" w:type="dxa"/>
            <w:shd w:val="clear" w:color="auto" w:fill="DBE5F1" w:themeFill="accent1" w:themeFillTint="33"/>
          </w:tcPr>
          <w:p w14:paraId="76C87F4D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4C8B1C0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129" w:type="dxa"/>
            <w:shd w:val="clear" w:color="auto" w:fill="DBE5F1" w:themeFill="accent1" w:themeFillTint="33"/>
          </w:tcPr>
          <w:p w14:paraId="2257C122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F20058" w14:paraId="5A137968" w14:textId="77777777" w:rsidTr="00F20058">
        <w:tc>
          <w:tcPr>
            <w:tcW w:w="2294" w:type="dxa"/>
            <w:shd w:val="clear" w:color="auto" w:fill="F2F2F2" w:themeFill="background1" w:themeFillShade="F2"/>
          </w:tcPr>
          <w:p w14:paraId="56A9E1D9" w14:textId="30C77E6A" w:rsidR="00F20058" w:rsidRDefault="00F20058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2A5126">
              <w:rPr>
                <w:rFonts w:ascii="Times New Roman" w:hAnsi="Times New Roman" w:cs="Times New Roman"/>
              </w:rPr>
              <w:t>1. Izgradnja prometnog elaborata za prometnu regulaciju</w:t>
            </w:r>
          </w:p>
        </w:tc>
        <w:tc>
          <w:tcPr>
            <w:tcW w:w="4647" w:type="dxa"/>
            <w:shd w:val="clear" w:color="auto" w:fill="F2F2F2" w:themeFill="background1" w:themeFillShade="F2"/>
          </w:tcPr>
          <w:p w14:paraId="4E4A1CF2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C4C91">
              <w:rPr>
                <w:rFonts w:ascii="Times New Roman" w:hAnsi="Times New Roman" w:cs="Times New Roman"/>
              </w:rPr>
              <w:t>Postavljeni prometni znakovi na kritične zone, izbjegnute gužve u ljetnim mjesecima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4544F6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58734B10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058" w14:paraId="42F68E29" w14:textId="77777777" w:rsidTr="00F20058">
        <w:tc>
          <w:tcPr>
            <w:tcW w:w="2294" w:type="dxa"/>
            <w:shd w:val="clear" w:color="auto" w:fill="F2F2F2" w:themeFill="background1" w:themeFillShade="F2"/>
          </w:tcPr>
          <w:p w14:paraId="38256765" w14:textId="4B3AAE9F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A62B50">
              <w:rPr>
                <w:rFonts w:ascii="Times New Roman" w:hAnsi="Times New Roman" w:cs="Times New Roman"/>
              </w:rPr>
              <w:t>2. Katastarske izmjene</w:t>
            </w:r>
          </w:p>
        </w:tc>
        <w:tc>
          <w:tcPr>
            <w:tcW w:w="4647" w:type="dxa"/>
            <w:shd w:val="clear" w:color="auto" w:fill="F2F2F2" w:themeFill="background1" w:themeFillShade="F2"/>
          </w:tcPr>
          <w:p w14:paraId="0DFC54A7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53C4">
              <w:rPr>
                <w:rFonts w:ascii="Times New Roman" w:hAnsi="Times New Roman" w:cs="Times New Roman"/>
              </w:rPr>
              <w:t>Riješene katastarske knjige na području Općine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4483EAC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02990236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2BF659C1" w14:textId="77777777" w:rsidR="00F20058" w:rsidRPr="009D361B" w:rsidRDefault="00F20058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7ECBC5D6" w14:textId="77777777" w:rsidR="00232E73" w:rsidRPr="009D361B" w:rsidRDefault="00232E73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9D361B">
        <w:rPr>
          <w:rFonts w:ascii="Arial Narrow" w:hAnsi="Arial Narrow"/>
          <w:i/>
          <w:sz w:val="24"/>
          <w:szCs w:val="24"/>
          <w:lang w:eastAsia="hr-HR"/>
        </w:rPr>
        <w:t xml:space="preserve">Zakone i druge pravne osnove </w:t>
      </w:r>
    </w:p>
    <w:p w14:paraId="55B2F926" w14:textId="5B43BECE" w:rsidR="003D6E79" w:rsidRPr="009D361B" w:rsidRDefault="00232E73" w:rsidP="00005F96">
      <w:pPr>
        <w:spacing w:line="240" w:lineRule="auto"/>
        <w:jc w:val="both"/>
        <w:rPr>
          <w:rFonts w:ascii="Arial Narrow" w:hAnsi="Arial Narrow"/>
          <w:i/>
          <w:sz w:val="24"/>
          <w:szCs w:val="24"/>
          <w:lang w:eastAsia="hr-HR"/>
        </w:rPr>
      </w:pPr>
      <w:r w:rsidRPr="009D361B">
        <w:rPr>
          <w:rFonts w:ascii="Arial Narrow" w:hAnsi="Arial Narrow"/>
          <w:i/>
          <w:sz w:val="24"/>
          <w:szCs w:val="24"/>
          <w:lang w:eastAsia="hr-HR"/>
        </w:rPr>
        <w:t>Zakon o komunalnom gospodarstvu, Zakon o vodama, Zakon o zaštiti voda, Zakon o javnim cestama, Zakon o prostornom uređenju i gradnji, Zakon o lokalnoj i područnoj )regionalnoj samoupravi, Zakon o regionalnom razvoju, Statut Općine Bibinje</w:t>
      </w:r>
      <w:r w:rsidR="006A3E4B" w:rsidRPr="009D361B">
        <w:rPr>
          <w:rFonts w:ascii="Arial Narrow" w:hAnsi="Arial Narrow"/>
          <w:i/>
          <w:sz w:val="24"/>
          <w:szCs w:val="24"/>
          <w:lang w:eastAsia="hr-HR"/>
        </w:rPr>
        <w:t>, Program građenja komunalne infrastrukture za 202</w:t>
      </w:r>
      <w:r w:rsidR="009D361B">
        <w:rPr>
          <w:rFonts w:ascii="Arial Narrow" w:hAnsi="Arial Narrow"/>
          <w:i/>
          <w:sz w:val="24"/>
          <w:szCs w:val="24"/>
          <w:lang w:eastAsia="hr-HR"/>
        </w:rPr>
        <w:t>3</w:t>
      </w:r>
      <w:r w:rsidR="006A3E4B" w:rsidRPr="009D361B">
        <w:rPr>
          <w:rFonts w:ascii="Arial Narrow" w:hAnsi="Arial Narrow"/>
          <w:i/>
          <w:sz w:val="24"/>
          <w:szCs w:val="24"/>
          <w:lang w:eastAsia="hr-HR"/>
        </w:rPr>
        <w:t xml:space="preserve">. godinu </w:t>
      </w:r>
    </w:p>
    <w:p w14:paraId="27A7DE9F" w14:textId="33D5F726" w:rsidR="00876F98" w:rsidRPr="009D361B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9D361B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556EE3" w:rsidRPr="009D361B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9D361B">
        <w:rPr>
          <w:rFonts w:ascii="Arial Narrow" w:hAnsi="Arial Narrow"/>
          <w:b/>
          <w:i/>
          <w:iCs/>
          <w:sz w:val="24"/>
          <w:szCs w:val="24"/>
          <w:lang w:eastAsia="hr-HR"/>
        </w:rPr>
        <w:t>0-0</w:t>
      </w:r>
      <w:r w:rsidR="00556EE3" w:rsidRPr="009D361B">
        <w:rPr>
          <w:rFonts w:ascii="Arial Narrow" w:hAnsi="Arial Narrow"/>
          <w:b/>
          <w:i/>
          <w:iCs/>
          <w:sz w:val="24"/>
          <w:szCs w:val="24"/>
          <w:lang w:eastAsia="hr-HR"/>
        </w:rPr>
        <w:t>6</w:t>
      </w:r>
      <w:r w:rsidRPr="009D361B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Školstvo, predškolski odgoj i </w:t>
      </w:r>
      <w:r w:rsidR="00556EE3" w:rsidRPr="009D361B">
        <w:rPr>
          <w:rFonts w:ascii="Arial Narrow" w:hAnsi="Arial Narrow"/>
          <w:b/>
          <w:i/>
          <w:iCs/>
          <w:sz w:val="24"/>
          <w:szCs w:val="24"/>
          <w:lang w:eastAsia="hr-HR"/>
        </w:rPr>
        <w:t>obrazovanje</w:t>
      </w:r>
      <w:r w:rsidRPr="009D361B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</w:p>
    <w:p w14:paraId="6E143D32" w14:textId="6E7ED515" w:rsidR="00A73BE5" w:rsidRPr="009D361B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9D361B">
        <w:rPr>
          <w:rFonts w:ascii="Arial Narrow" w:hAnsi="Arial Narrow"/>
          <w:i/>
          <w:iCs/>
          <w:sz w:val="24"/>
          <w:szCs w:val="24"/>
          <w:lang w:eastAsia="hr-HR"/>
        </w:rPr>
        <w:t xml:space="preserve">Glava školstvo, predškolski odgoj i </w:t>
      </w:r>
      <w:r w:rsidR="00556EE3" w:rsidRPr="009D361B">
        <w:rPr>
          <w:rFonts w:ascii="Arial Narrow" w:hAnsi="Arial Narrow"/>
          <w:i/>
          <w:iCs/>
          <w:sz w:val="24"/>
          <w:szCs w:val="24"/>
          <w:lang w:eastAsia="hr-HR"/>
        </w:rPr>
        <w:t xml:space="preserve">obrazovanje </w:t>
      </w:r>
      <w:r w:rsidRPr="009D361B">
        <w:rPr>
          <w:rFonts w:ascii="Arial Narrow" w:hAnsi="Arial Narrow"/>
          <w:i/>
          <w:iCs/>
          <w:sz w:val="24"/>
          <w:szCs w:val="24"/>
          <w:lang w:eastAsia="hr-HR"/>
        </w:rPr>
        <w:t xml:space="preserve">ima </w:t>
      </w:r>
      <w:r w:rsidR="00556EE3" w:rsidRPr="009D361B">
        <w:rPr>
          <w:rFonts w:ascii="Arial Narrow" w:hAnsi="Arial Narrow"/>
          <w:i/>
          <w:iCs/>
          <w:sz w:val="24"/>
          <w:szCs w:val="24"/>
          <w:lang w:eastAsia="hr-HR"/>
        </w:rPr>
        <w:t>tri</w:t>
      </w:r>
      <w:r w:rsidRPr="009D361B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programa javne potrebe u </w:t>
      </w:r>
      <w:proofErr w:type="spellStart"/>
      <w:r w:rsidRPr="009D361B">
        <w:rPr>
          <w:rFonts w:ascii="Arial Narrow" w:hAnsi="Arial Narrow"/>
          <w:i/>
          <w:iCs/>
          <w:sz w:val="24"/>
          <w:szCs w:val="24"/>
          <w:lang w:eastAsia="hr-HR"/>
        </w:rPr>
        <w:t>predškolstvu</w:t>
      </w:r>
      <w:proofErr w:type="spellEnd"/>
      <w:r w:rsidR="00556EE3" w:rsidRPr="009D361B">
        <w:rPr>
          <w:rFonts w:ascii="Arial Narrow" w:hAnsi="Arial Narrow"/>
          <w:i/>
          <w:iCs/>
          <w:sz w:val="24"/>
          <w:szCs w:val="24"/>
          <w:lang w:eastAsia="hr-HR"/>
        </w:rPr>
        <w:t>,</w:t>
      </w:r>
      <w:r w:rsidRPr="009D361B">
        <w:rPr>
          <w:rFonts w:ascii="Arial Narrow" w:hAnsi="Arial Narrow"/>
          <w:i/>
          <w:iCs/>
          <w:sz w:val="24"/>
          <w:szCs w:val="24"/>
          <w:lang w:eastAsia="hr-HR"/>
        </w:rPr>
        <w:t xml:space="preserve"> javne potrebe u školstvu</w:t>
      </w:r>
      <w:r w:rsidR="00556EE3" w:rsidRPr="009D361B">
        <w:rPr>
          <w:rFonts w:ascii="Arial Narrow" w:hAnsi="Arial Narrow"/>
          <w:i/>
          <w:iCs/>
          <w:sz w:val="24"/>
          <w:szCs w:val="24"/>
          <w:lang w:eastAsia="hr-HR"/>
        </w:rPr>
        <w:t xml:space="preserve">, stipendije i školarine te jednog proračunskog korisnika DV Leptirići </w:t>
      </w:r>
      <w:r w:rsidRPr="009D361B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Programom javnih potreba u </w:t>
      </w:r>
      <w:proofErr w:type="spellStart"/>
      <w:r w:rsidRPr="009D361B">
        <w:rPr>
          <w:rFonts w:ascii="Arial Narrow" w:hAnsi="Arial Narrow"/>
          <w:i/>
          <w:iCs/>
          <w:sz w:val="24"/>
          <w:szCs w:val="24"/>
          <w:lang w:eastAsia="hr-HR"/>
        </w:rPr>
        <w:t>predškolstvu</w:t>
      </w:r>
      <w:proofErr w:type="spellEnd"/>
      <w:r w:rsidRPr="009D361B">
        <w:rPr>
          <w:rFonts w:ascii="Arial Narrow" w:hAnsi="Arial Narrow"/>
          <w:i/>
          <w:iCs/>
          <w:sz w:val="24"/>
          <w:szCs w:val="24"/>
          <w:lang w:eastAsia="hr-HR"/>
        </w:rPr>
        <w:t xml:space="preserve"> sufinancira se </w:t>
      </w:r>
      <w:r w:rsidR="00556EE3" w:rsidRPr="009D361B">
        <w:rPr>
          <w:rFonts w:ascii="Arial Narrow" w:hAnsi="Arial Narrow"/>
          <w:i/>
          <w:iCs/>
          <w:sz w:val="24"/>
          <w:szCs w:val="24"/>
          <w:lang w:eastAsia="hr-HR"/>
        </w:rPr>
        <w:t>privatni vrtić, vrtić za djecu sa poteškoćama</w:t>
      </w:r>
      <w:r w:rsidR="00C25553" w:rsidRPr="009D361B">
        <w:rPr>
          <w:rFonts w:ascii="Arial Narrow" w:hAnsi="Arial Narrow"/>
          <w:i/>
          <w:iCs/>
          <w:sz w:val="24"/>
          <w:szCs w:val="24"/>
          <w:lang w:eastAsia="hr-HR"/>
        </w:rPr>
        <w:t>, sufinanciranje jasličkog programa u dječjim vrtićima drugih osnivača</w:t>
      </w:r>
      <w:r w:rsidR="00556EE3" w:rsidRPr="009D361B">
        <w:rPr>
          <w:rFonts w:ascii="Arial Narrow" w:hAnsi="Arial Narrow"/>
          <w:i/>
          <w:iCs/>
          <w:sz w:val="24"/>
          <w:szCs w:val="24"/>
          <w:lang w:eastAsia="hr-HR"/>
        </w:rPr>
        <w:t xml:space="preserve"> te izgradnja novog dječjeg vrtića</w:t>
      </w:r>
      <w:r w:rsidRPr="009D361B">
        <w:rPr>
          <w:rFonts w:ascii="Arial Narrow" w:hAnsi="Arial Narrow"/>
          <w:i/>
          <w:iCs/>
          <w:sz w:val="24"/>
          <w:szCs w:val="24"/>
          <w:lang w:eastAsia="hr-HR"/>
        </w:rPr>
        <w:t>. Programom javnih potreba u školstvu sufinanciraju se izvan školske aktivnosti OŠ Stjepana Radića Bibinje.</w:t>
      </w:r>
      <w:r w:rsidR="00556EE3" w:rsidRPr="009D361B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Programom stipendije i školarine financiraju se svi redovni studenti na području općine Bibinje. </w:t>
      </w:r>
    </w:p>
    <w:p w14:paraId="24867BE2" w14:textId="68B665CF" w:rsidR="00556EE3" w:rsidRDefault="00556EE3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9D361B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1011 Javne potrebe u </w:t>
      </w:r>
      <w:proofErr w:type="spellStart"/>
      <w:r w:rsidRPr="009D361B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>predškolstvu</w:t>
      </w:r>
      <w:proofErr w:type="spellEnd"/>
      <w:r w:rsidRPr="009D361B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Pr="009D361B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</w:r>
      <w:r w:rsidRPr="009D361B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softHyphen/>
        <w:t xml:space="preserve">- </w:t>
      </w:r>
      <w:r w:rsidRPr="009D361B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9D361B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C25553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C25553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1.618.209,54 eura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projekciji za 202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1.568.650,86 eura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289.163,20 eura.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Namjena ovog programa je sufinanciranje cijene vrtića za djecu sa poteškoćama u iznosu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3.981,68 eura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sufinanciranje cijene privatnih vrtića u iznosu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41.409,52 eura</w:t>
      </w:r>
      <w:r w:rsidR="00C25553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odnosi se na sufinanciranje DV svete Male Terezije na području općine Bibinje</w:t>
      </w:r>
      <w:r w:rsidR="00C25553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sufinanciranje jasličkog programa u dječjim vrtićima drugih osnivača u iznosu od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7.963,37 eura</w:t>
      </w:r>
      <w:r w:rsidR="00C25553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</w:t>
      </w:r>
      <w:r w:rsidR="00A17734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izgradnja i opremanje novog dječjeg  vrtića u iznosu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1.327.228,09 eura</w:t>
      </w:r>
      <w:r w:rsidR="00C25553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Sredinom 2023.</w:t>
      </w:r>
      <w:r w:rsidR="006524E4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A17734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godine </w:t>
      </w:r>
      <w:r w:rsidR="006524E4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je </w:t>
      </w:r>
      <w:r w:rsidR="00A17734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počet</w:t>
      </w:r>
      <w:r w:rsidR="006524E4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ak izgradnje </w:t>
      </w:r>
      <w:r w:rsidR="00A17734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kraj radova se planira tokom 202</w:t>
      </w:r>
      <w:r w:rsidR="00C25553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A17734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godine. </w:t>
      </w:r>
      <w:r w:rsidR="00E66A5D" w:rsidRPr="009D361B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Sufinanciranje jasličkog programa u dječjim vrtićima drugih osnivača je nova aktivnost u Proračuna a odnosi se na sufinanciranje cijene jasličkog programa u dječjim vrtićima drugih osnivača djeci koja imaju prebivalište na području Općine Bibinje.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1167"/>
        <w:gridCol w:w="1096"/>
      </w:tblGrid>
      <w:tr w:rsidR="00627FF3" w14:paraId="5C30DF39" w14:textId="77777777" w:rsidTr="00627FF3">
        <w:tc>
          <w:tcPr>
            <w:tcW w:w="3397" w:type="dxa"/>
            <w:shd w:val="clear" w:color="auto" w:fill="DBE5F1" w:themeFill="accent1" w:themeFillTint="33"/>
          </w:tcPr>
          <w:p w14:paraId="3D08E5D1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19654C6F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14:paraId="5E31F911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096" w:type="dxa"/>
            <w:shd w:val="clear" w:color="auto" w:fill="DBE5F1" w:themeFill="accent1" w:themeFillTint="33"/>
          </w:tcPr>
          <w:p w14:paraId="3E2CEA9A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627FF3" w14:paraId="2A1AABA3" w14:textId="77777777" w:rsidTr="00627FF3">
        <w:tc>
          <w:tcPr>
            <w:tcW w:w="3397" w:type="dxa"/>
            <w:shd w:val="clear" w:color="auto" w:fill="F2F2F2" w:themeFill="background1" w:themeFillShade="F2"/>
          </w:tcPr>
          <w:p w14:paraId="59F08045" w14:textId="796C7FA8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DB3E14">
              <w:rPr>
                <w:rFonts w:ascii="Times New Roman" w:hAnsi="Times New Roman" w:cs="Times New Roman"/>
              </w:rPr>
              <w:t>1.Izgradnja i opremanje novog dječjeg vrtića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A75CCDA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B3E14">
              <w:rPr>
                <w:rFonts w:ascii="Times New Roman" w:hAnsi="Times New Roman" w:cs="Times New Roman"/>
              </w:rPr>
              <w:t>Izgrađen i potpuno opremljen novi dječji vrtić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14:paraId="1440B5B8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11880453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86CB282" w14:textId="77777777" w:rsidR="00627FF3" w:rsidRPr="009D361B" w:rsidRDefault="00627FF3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10D46320" w14:textId="7EB87C26" w:rsidR="00A17734" w:rsidRDefault="00A17734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A783E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1012 Javne potrebe u školstvu -  </w:t>
      </w:r>
      <w:r w:rsidRPr="006A783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6A783E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66.494,12 eura kao i u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projekcij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Namjena ovog programa je financiranje dopunske nastave u OŠ Stjepana  Radića Bibinje u iznosu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25.217,33 eura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financiranje radnih materijala učenicima OŠ Stjepana Radića Bibinje u iznosu 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33.180,70 eura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financiranje logopeda 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djeci sa 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lastRenderedPageBreak/>
        <w:t xml:space="preserve">područja Općine Bibinje 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6.768,86 eura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sufinanciranje ostalih izvanškolskih aktivnosti OŠ Stjepana Radića Bibinje u iznosu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1.327,23 eura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8"/>
        <w:gridCol w:w="4570"/>
        <w:gridCol w:w="1096"/>
        <w:gridCol w:w="1128"/>
      </w:tblGrid>
      <w:tr w:rsidR="00F20058" w14:paraId="1C6ADF9C" w14:textId="77777777" w:rsidTr="005D24DD">
        <w:tc>
          <w:tcPr>
            <w:tcW w:w="2268" w:type="dxa"/>
            <w:shd w:val="clear" w:color="auto" w:fill="DBE5F1" w:themeFill="accent1" w:themeFillTint="33"/>
          </w:tcPr>
          <w:p w14:paraId="02960C85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4570" w:type="dxa"/>
            <w:shd w:val="clear" w:color="auto" w:fill="DBE5F1" w:themeFill="accent1" w:themeFillTint="33"/>
          </w:tcPr>
          <w:p w14:paraId="516AF181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096" w:type="dxa"/>
            <w:shd w:val="clear" w:color="auto" w:fill="DBE5F1" w:themeFill="accent1" w:themeFillTint="33"/>
          </w:tcPr>
          <w:p w14:paraId="0EBFBBA2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128" w:type="dxa"/>
            <w:shd w:val="clear" w:color="auto" w:fill="DBE5F1" w:themeFill="accent1" w:themeFillTint="33"/>
          </w:tcPr>
          <w:p w14:paraId="6C8DF131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F20058" w14:paraId="50411695" w14:textId="77777777" w:rsidTr="00F20058">
        <w:tc>
          <w:tcPr>
            <w:tcW w:w="2268" w:type="dxa"/>
          </w:tcPr>
          <w:p w14:paraId="36D8B362" w14:textId="4CFEDF84" w:rsidR="00F20058" w:rsidRDefault="00F20058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Pr="0052017B">
              <w:rPr>
                <w:rFonts w:ascii="Times New Roman" w:hAnsi="Times New Roman" w:cs="Times New Roman"/>
              </w:rPr>
              <w:t>. Financiranje radnih materijala učenicima</w:t>
            </w:r>
          </w:p>
        </w:tc>
        <w:tc>
          <w:tcPr>
            <w:tcW w:w="4570" w:type="dxa"/>
          </w:tcPr>
          <w:p w14:paraId="326684E7" w14:textId="77777777" w:rsidR="00F20058" w:rsidRDefault="00F20058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58E2">
              <w:rPr>
                <w:rFonts w:ascii="Times New Roman" w:hAnsi="Times New Roman" w:cs="Times New Roman"/>
              </w:rPr>
              <w:t>Omogućeni besplatni školski radni materijali svim učenicima</w:t>
            </w:r>
          </w:p>
        </w:tc>
        <w:tc>
          <w:tcPr>
            <w:tcW w:w="1096" w:type="dxa"/>
          </w:tcPr>
          <w:p w14:paraId="220564A4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28" w:type="dxa"/>
          </w:tcPr>
          <w:p w14:paraId="43F2AF6F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067FC521" w14:textId="77777777" w:rsidR="00F20058" w:rsidRPr="006A783E" w:rsidRDefault="00F20058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69AE28F6" w14:textId="1A4BA0AA" w:rsidR="00A17734" w:rsidRDefault="00A17734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6A783E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1021 Stipendije i školarine - </w:t>
      </w:r>
      <w:r w:rsidRPr="006A783E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</w:t>
      </w:r>
      <w:r w:rsidRPr="006A783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6A783E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u  iznosu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63.706,95 eura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Namjena ovog programa je stipendiranje svih redovnih studenata općine Bibinje.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8"/>
        <w:gridCol w:w="4570"/>
        <w:gridCol w:w="1096"/>
        <w:gridCol w:w="1128"/>
      </w:tblGrid>
      <w:tr w:rsidR="00F20058" w14:paraId="134B7833" w14:textId="77777777" w:rsidTr="00F20058">
        <w:tc>
          <w:tcPr>
            <w:tcW w:w="2268" w:type="dxa"/>
            <w:shd w:val="clear" w:color="auto" w:fill="DBE5F1" w:themeFill="accent1" w:themeFillTint="33"/>
          </w:tcPr>
          <w:p w14:paraId="7F9EFF31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4570" w:type="dxa"/>
            <w:shd w:val="clear" w:color="auto" w:fill="DBE5F1" w:themeFill="accent1" w:themeFillTint="33"/>
          </w:tcPr>
          <w:p w14:paraId="11B10832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096" w:type="dxa"/>
            <w:shd w:val="clear" w:color="auto" w:fill="DBE5F1" w:themeFill="accent1" w:themeFillTint="33"/>
          </w:tcPr>
          <w:p w14:paraId="4F941059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128" w:type="dxa"/>
            <w:shd w:val="clear" w:color="auto" w:fill="DBE5F1" w:themeFill="accent1" w:themeFillTint="33"/>
          </w:tcPr>
          <w:p w14:paraId="7E440A48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F20058" w14:paraId="001E6D91" w14:textId="77777777" w:rsidTr="00F20058">
        <w:tc>
          <w:tcPr>
            <w:tcW w:w="2268" w:type="dxa"/>
          </w:tcPr>
          <w:p w14:paraId="6E51EEF4" w14:textId="2C1D6500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52017B">
              <w:rPr>
                <w:rFonts w:ascii="Times New Roman" w:hAnsi="Times New Roman" w:cs="Times New Roman"/>
              </w:rPr>
              <w:t xml:space="preserve"> Stipendiranje studenata</w:t>
            </w:r>
          </w:p>
        </w:tc>
        <w:tc>
          <w:tcPr>
            <w:tcW w:w="4570" w:type="dxa"/>
          </w:tcPr>
          <w:p w14:paraId="58490B43" w14:textId="77777777" w:rsidR="00F20058" w:rsidRDefault="00F20058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A58E2">
              <w:rPr>
                <w:rFonts w:ascii="Times New Roman" w:hAnsi="Times New Roman" w:cs="Times New Roman"/>
              </w:rPr>
              <w:t>Stipendirani svi redovni studenti Općine</w:t>
            </w:r>
            <w:r>
              <w:rPr>
                <w:rFonts w:ascii="Times New Roman" w:hAnsi="Times New Roman" w:cs="Times New Roman"/>
              </w:rPr>
              <w:t xml:space="preserve"> Bibinje</w:t>
            </w:r>
          </w:p>
        </w:tc>
        <w:tc>
          <w:tcPr>
            <w:tcW w:w="1096" w:type="dxa"/>
          </w:tcPr>
          <w:p w14:paraId="0541F6AA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28" w:type="dxa"/>
          </w:tcPr>
          <w:p w14:paraId="4EA08BC2" w14:textId="77777777" w:rsidR="00F20058" w:rsidRDefault="00F20058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</w:tbl>
    <w:p w14:paraId="625F485D" w14:textId="77777777" w:rsidR="00F20058" w:rsidRPr="006A783E" w:rsidRDefault="00F20058" w:rsidP="00005F96">
      <w:pPr>
        <w:spacing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206C3A44" w14:textId="53ACECAF" w:rsidR="00556EE3" w:rsidRPr="006A783E" w:rsidRDefault="00A17734" w:rsidP="00005F96">
      <w:pPr>
        <w:spacing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6A783E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Proračunski korisnik DV Leptirići </w:t>
      </w:r>
    </w:p>
    <w:p w14:paraId="197C934A" w14:textId="00F4A01C" w:rsidR="00A73BE5" w:rsidRPr="006A783E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6A783E">
        <w:rPr>
          <w:rFonts w:ascii="Arial Narrow" w:hAnsi="Arial Narrow"/>
          <w:i/>
          <w:iCs/>
          <w:sz w:val="24"/>
          <w:szCs w:val="24"/>
          <w:lang w:eastAsia="hr-HR"/>
        </w:rPr>
        <w:t>A10</w:t>
      </w:r>
      <w:r w:rsidR="00A17734" w:rsidRPr="006A783E">
        <w:rPr>
          <w:rFonts w:ascii="Arial Narrow" w:hAnsi="Arial Narrow"/>
          <w:i/>
          <w:iCs/>
          <w:sz w:val="24"/>
          <w:szCs w:val="24"/>
          <w:lang w:eastAsia="hr-HR"/>
        </w:rPr>
        <w:t>11</w:t>
      </w:r>
      <w:r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-01 </w:t>
      </w:r>
      <w:r w:rsidR="00A17734"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Redovna djelatnost dječjeg vrtića Leptirići - </w:t>
      </w:r>
      <w:r w:rsidR="00A17734" w:rsidRPr="006A783E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A17734" w:rsidRPr="006A783E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A17734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A17734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A17734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 iznosu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="00A17734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91.313,28 eura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A17734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</w:t>
      </w:r>
      <w:r w:rsidR="00A17734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projekciji za 202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iznos od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188.068,21 eura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A17734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 u projekciji za </w:t>
      </w:r>
      <w:r w:rsidR="00A17734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A17734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planiran</w:t>
      </w:r>
      <w:r w:rsidR="008B2E70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je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iznos od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243.722,00 eura</w:t>
      </w:r>
      <w:r w:rsidR="00A17734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Namjena ove aktivnost je osigurati normalan rad dječjeg vrtića Leptirići kako bi se  pružila što kvalitetnija usluga predškolskog odgoja.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Općina sufinancira rad vrtića u iznosu od 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69.812,20 eura 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se ostala sredstva odnose na vlastite prihode dječjeg vrtića Leptirići. U projekciji za 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2024. i 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202</w:t>
      </w:r>
      <w:r w:rsid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E66A5D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planirani su veći rashodi jer se planira otvoriti novi dječji vrtić. </w:t>
      </w:r>
      <w:r w:rsidR="00A17734" w:rsidRPr="006A783E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5B2B358E" w14:textId="5A0C970F" w:rsidR="00A73BE5" w:rsidRDefault="00A73BE5" w:rsidP="00005F96">
      <w:pPr>
        <w:spacing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>A 10</w:t>
      </w:r>
      <w:r w:rsidR="00D17EB0" w:rsidRPr="002809B8">
        <w:rPr>
          <w:rFonts w:ascii="Arial Narrow" w:hAnsi="Arial Narrow"/>
          <w:i/>
          <w:iCs/>
          <w:sz w:val="24"/>
          <w:szCs w:val="24"/>
          <w:lang w:eastAsia="hr-HR"/>
        </w:rPr>
        <w:t>11</w:t>
      </w: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>-</w:t>
      </w:r>
      <w:r w:rsidR="00D17EB0"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02 Projekt Ispunjenije djetinjstvo - </w:t>
      </w: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D17EB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D17EB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38207E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D17EB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38207E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146.313,60 eura</w:t>
      </w:r>
      <w:r w:rsidR="0038207E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17EB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se </w:t>
      </w:r>
      <w:r w:rsidR="00D17EB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u projekcij</w:t>
      </w:r>
      <w:r w:rsidR="0038207E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ama </w:t>
      </w:r>
      <w:r w:rsidR="00D17EB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za 202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D17EB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38207E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202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38207E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D17EB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ne </w:t>
      </w:r>
      <w:r w:rsidR="00D17EB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ovaj projekt.</w:t>
      </w:r>
      <w:r w:rsidR="008B2E7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D17EB0" w:rsidRPr="002809B8">
        <w:rPr>
          <w:rFonts w:ascii="Arial Narrow" w:hAnsi="Arial Narrow"/>
          <w:i/>
          <w:iCs/>
          <w:sz w:val="24"/>
          <w:szCs w:val="24"/>
          <w:lang w:eastAsia="hr-HR"/>
        </w:rPr>
        <w:t>Namjena ovog projekta je u</w:t>
      </w: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>napređenje usluga za djecu u sustavu ranog i predškolskog odgoja i obrazovanja</w:t>
      </w:r>
      <w:r w:rsidR="00D17EB0" w:rsidRPr="002809B8">
        <w:rPr>
          <w:rFonts w:ascii="Arial Narrow" w:hAnsi="Arial Narrow"/>
          <w:i/>
          <w:iCs/>
          <w:sz w:val="24"/>
          <w:szCs w:val="24"/>
          <w:lang w:eastAsia="hr-HR"/>
        </w:rPr>
        <w:t>.</w:t>
      </w: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 Cilj ovog projekta omogućiti smjenski rad vrtića te rad vrtića uskladiti sa obiteljskim i poslovnim obvezama. Aktivnost se odnosni na financiranje plaća zaposlenika, osiguravanje toplog obroka, usluge logopeda</w:t>
      </w:r>
      <w:r w:rsidR="0038207E"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 te</w:t>
      </w: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="0038207E" w:rsidRPr="002809B8">
        <w:rPr>
          <w:rFonts w:ascii="Arial Narrow" w:hAnsi="Arial Narrow"/>
          <w:i/>
          <w:iCs/>
          <w:sz w:val="24"/>
          <w:szCs w:val="24"/>
          <w:lang w:eastAsia="hr-HR"/>
        </w:rPr>
        <w:t>održavanje radionica za djecu</w:t>
      </w:r>
      <w:r w:rsidR="00D17EB0" w:rsidRPr="002809B8">
        <w:rPr>
          <w:rFonts w:ascii="Arial Narrow" w:hAnsi="Arial Narrow"/>
          <w:i/>
          <w:iCs/>
          <w:sz w:val="24"/>
          <w:szCs w:val="24"/>
          <w:lang w:eastAsia="hr-HR"/>
        </w:rPr>
        <w:t>. Projekt se financira iz EU fondova u kojem je dječji vrtić Leptirići partner općini Bibinje</w:t>
      </w:r>
      <w:r w:rsidR="00D17EB0" w:rsidRPr="006B0B33"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85"/>
        <w:gridCol w:w="4654"/>
        <w:gridCol w:w="1096"/>
        <w:gridCol w:w="1127"/>
      </w:tblGrid>
      <w:tr w:rsidR="00E21580" w14:paraId="78DF80E7" w14:textId="77777777" w:rsidTr="005D24DD">
        <w:tc>
          <w:tcPr>
            <w:tcW w:w="2185" w:type="dxa"/>
            <w:shd w:val="clear" w:color="auto" w:fill="DBE5F1" w:themeFill="accent1" w:themeFillTint="33"/>
          </w:tcPr>
          <w:p w14:paraId="56B000A8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4654" w:type="dxa"/>
            <w:shd w:val="clear" w:color="auto" w:fill="DBE5F1" w:themeFill="accent1" w:themeFillTint="33"/>
          </w:tcPr>
          <w:p w14:paraId="39160AEB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096" w:type="dxa"/>
            <w:shd w:val="clear" w:color="auto" w:fill="DBE5F1" w:themeFill="accent1" w:themeFillTint="33"/>
          </w:tcPr>
          <w:p w14:paraId="1DADA3B4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296DEB10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E21580" w14:paraId="761B44EA" w14:textId="77777777" w:rsidTr="005D24DD">
        <w:tc>
          <w:tcPr>
            <w:tcW w:w="2185" w:type="dxa"/>
          </w:tcPr>
          <w:p w14:paraId="6BC163FB" w14:textId="6ACEB542" w:rsidR="00E21580" w:rsidRDefault="00E21580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Ispunjenije djetinjstvo </w:t>
            </w:r>
          </w:p>
        </w:tc>
        <w:tc>
          <w:tcPr>
            <w:tcW w:w="4654" w:type="dxa"/>
          </w:tcPr>
          <w:p w14:paraId="752594FB" w14:textId="170C9A18" w:rsidR="00E21580" w:rsidRDefault="00E21580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21791">
              <w:rPr>
                <w:rFonts w:ascii="Times New Roman" w:hAnsi="Times New Roman" w:cs="Times New Roman"/>
              </w:rPr>
              <w:t>Projektom Ispunjenije djetinjstvo osiguran smjenski rad dječjeg vrtića Leptirići</w:t>
            </w:r>
          </w:p>
        </w:tc>
        <w:tc>
          <w:tcPr>
            <w:tcW w:w="1096" w:type="dxa"/>
          </w:tcPr>
          <w:p w14:paraId="3DD16AAD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</w:tcPr>
          <w:p w14:paraId="25F654AD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00BFB2F" w14:textId="77777777" w:rsidR="00E21580" w:rsidRPr="006B0B33" w:rsidRDefault="00E21580" w:rsidP="00005F96">
      <w:pPr>
        <w:spacing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0D3A63FD" w14:textId="77777777" w:rsidR="006A224F" w:rsidRPr="006A783E" w:rsidRDefault="00675057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141A9DC1" w14:textId="4D2E166C" w:rsidR="00A73BE5" w:rsidRPr="006A783E" w:rsidRDefault="00675057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6A783E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predškolskom odgoju i naobrazbi, Odluka o izvršavanju Proračuna Općine Bibinje za 20</w:t>
      </w:r>
      <w:r w:rsidR="003D6E79" w:rsidRPr="006A783E">
        <w:rPr>
          <w:rFonts w:ascii="Arial Narrow" w:hAnsi="Arial Narrow"/>
          <w:i/>
          <w:iCs/>
          <w:sz w:val="24"/>
          <w:szCs w:val="24"/>
          <w:lang w:eastAsia="hr-HR"/>
        </w:rPr>
        <w:t>2</w:t>
      </w:r>
      <w:r w:rsidR="006A783E">
        <w:rPr>
          <w:rFonts w:ascii="Arial Narrow" w:hAnsi="Arial Narrow"/>
          <w:i/>
          <w:iCs/>
          <w:sz w:val="24"/>
          <w:szCs w:val="24"/>
          <w:lang w:eastAsia="hr-HR"/>
        </w:rPr>
        <w:t>3</w:t>
      </w:r>
      <w:r w:rsidRPr="006A783E">
        <w:rPr>
          <w:rFonts w:ascii="Arial Narrow" w:hAnsi="Arial Narrow"/>
          <w:i/>
          <w:iCs/>
          <w:sz w:val="24"/>
          <w:szCs w:val="24"/>
          <w:lang w:eastAsia="hr-HR"/>
        </w:rPr>
        <w:t>. godinu</w:t>
      </w:r>
      <w:r w:rsidR="0017326E"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, </w:t>
      </w:r>
      <w:r w:rsidR="0017326E" w:rsidRPr="006A783E">
        <w:rPr>
          <w:rFonts w:ascii="Arial Narrow" w:hAnsi="Arial Narrow"/>
          <w:i/>
          <w:iCs/>
          <w:sz w:val="24"/>
          <w:szCs w:val="24"/>
        </w:rPr>
        <w:t>Pravilnik o uvjetima i kriterijima stipendiranja studenata Općine Bibinje stipendije</w:t>
      </w:r>
    </w:p>
    <w:p w14:paraId="55C8E473" w14:textId="77777777" w:rsidR="0017326E" w:rsidRPr="006B0B33" w:rsidRDefault="0017326E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p w14:paraId="5C22BB78" w14:textId="1D34D58A" w:rsidR="00876F98" w:rsidRPr="006A783E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6A783E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D17EB0" w:rsidRPr="006A783E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6A783E">
        <w:rPr>
          <w:rFonts w:ascii="Arial Narrow" w:hAnsi="Arial Narrow"/>
          <w:b/>
          <w:i/>
          <w:iCs/>
          <w:sz w:val="24"/>
          <w:szCs w:val="24"/>
          <w:lang w:eastAsia="hr-HR"/>
        </w:rPr>
        <w:t>0-</w:t>
      </w:r>
      <w:r w:rsidR="00D17EB0" w:rsidRPr="006A783E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07 Kultura, sport i religija </w:t>
      </w:r>
      <w:r w:rsidRPr="006A783E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</w:t>
      </w:r>
    </w:p>
    <w:p w14:paraId="5946B329" w14:textId="77777777" w:rsidR="00D17EB0" w:rsidRPr="006A783E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D17EB0"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kultura, sport i religija </w:t>
      </w:r>
      <w:r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 ima </w:t>
      </w:r>
      <w:r w:rsidR="00D17EB0"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tri </w:t>
      </w:r>
      <w:r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</w:t>
      </w:r>
      <w:r w:rsidR="00D17EB0" w:rsidRPr="006A783E">
        <w:rPr>
          <w:rFonts w:ascii="Arial Narrow" w:hAnsi="Arial Narrow"/>
          <w:i/>
          <w:iCs/>
          <w:sz w:val="24"/>
          <w:szCs w:val="24"/>
          <w:lang w:eastAsia="hr-HR"/>
        </w:rPr>
        <w:t>a</w:t>
      </w:r>
      <w:r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 javne potrebe u kulturi</w:t>
      </w:r>
      <w:r w:rsidR="00D17EB0"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, javne potrebe u sportu te religiju. </w:t>
      </w:r>
      <w:r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</w:p>
    <w:p w14:paraId="1B38E5CA" w14:textId="70D437B8" w:rsidR="00D17EB0" w:rsidRPr="006B0B33" w:rsidRDefault="00D17EB0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186A76AC" w14:textId="7277BE00" w:rsidR="00D17EB0" w:rsidRPr="006A783E" w:rsidRDefault="00D17EB0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6A783E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1013 Javne potrebe u kulturi </w:t>
      </w:r>
    </w:p>
    <w:p w14:paraId="76C0FD0F" w14:textId="77777777" w:rsidR="00D17EB0" w:rsidRPr="006A783E" w:rsidRDefault="00D17EB0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</w:p>
    <w:p w14:paraId="3B7ED9F0" w14:textId="64B91A6A" w:rsidR="00A73BE5" w:rsidRPr="006A783E" w:rsidRDefault="00D17EB0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Programom </w:t>
      </w:r>
      <w:r w:rsidR="00A73BE5"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 javnih potreba u kulturi obuhvaćaju se svi oblici promicanja kulture i kulturnih djelatnosti koje doprinose razvitku i unaprjeđenju svekolikog kulturnog života na području Općine Bibinje. Javne potrebe u kulturi za koje se sredstva osiguravaju u ovo</w:t>
      </w:r>
      <w:r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m programu </w:t>
      </w:r>
      <w:r w:rsidR="00A73BE5" w:rsidRPr="006A783E">
        <w:rPr>
          <w:rFonts w:ascii="Arial Narrow" w:hAnsi="Arial Narrow"/>
          <w:i/>
          <w:iCs/>
          <w:sz w:val="24"/>
          <w:szCs w:val="24"/>
          <w:lang w:eastAsia="hr-HR"/>
        </w:rPr>
        <w:t xml:space="preserve"> jesu kulturne djelatnosti i poslovi, akcije  i manifestacije u kulturi od posebnog značaja  za Općinu Bibinje.</w:t>
      </w:r>
    </w:p>
    <w:p w14:paraId="0C7BA2E2" w14:textId="77777777" w:rsidR="00A73BE5" w:rsidRPr="006B0B33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4A802AAA" w14:textId="2D0B9501" w:rsidR="003D6E79" w:rsidRDefault="00A73BE5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</w:pPr>
      <w:r w:rsidRPr="002809B8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kulturi </w:t>
      </w:r>
      <w:r w:rsidR="00613439" w:rsidRPr="002809B8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 - </w:t>
      </w:r>
      <w:r w:rsidR="00613439" w:rsidRPr="002809B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="00613439" w:rsidRPr="002809B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="00613439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="00613439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1975D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="00613439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1975D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138.857,25 eura</w:t>
      </w:r>
      <w:r w:rsidR="00613439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="00613439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613439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2025. </w:t>
      </w:r>
      <w:r w:rsidR="00613439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godinu planiran iznos od 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63.043,34 eura. </w:t>
      </w:r>
      <w:r w:rsidR="00613439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Namjena ovog programa je organiziranje kulturnih manifestacija na području općine Bibinje u iznosu od 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25.217,33 eura</w:t>
      </w:r>
      <w:r w:rsidR="00613439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možemo istaknuti manifestaciju </w:t>
      </w:r>
      <w:proofErr w:type="spellStart"/>
      <w:r w:rsidR="00613439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Raspivano</w:t>
      </w:r>
      <w:proofErr w:type="spellEnd"/>
      <w:r w:rsidR="00613439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Bibinje, sufinanciranje programa udruga u kulturi u iznosu </w:t>
      </w:r>
      <w:r w:rsidR="008B2E7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28.535,41 eura</w:t>
      </w:r>
      <w:r w:rsidR="00C25553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613439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projekt Društveni centar Bibinje u iznosu </w:t>
      </w:r>
      <w:r w:rsidR="00C25553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75.813,91 kuna</w:t>
      </w:r>
      <w:r w:rsidR="00C25553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nastavak arheoloških istraživanja na području „Petrine“ u iznosu od 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9.290,60 eura.</w:t>
      </w:r>
      <w:r w:rsidR="00C25553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613439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Projekt Društveni centar Bibinje novi je projekt općine Bibinje koji se financira iz sredstva EU fondova. </w:t>
      </w:r>
      <w:r w:rsidR="00613439" w:rsidRPr="002809B8">
        <w:rPr>
          <w:rFonts w:ascii="Arial Narrow" w:hAnsi="Arial Narrow" w:cs="Arial"/>
          <w:sz w:val="24"/>
          <w:szCs w:val="24"/>
          <w:shd w:val="clear" w:color="auto" w:fill="FFFFFF"/>
        </w:rPr>
        <w:t> </w:t>
      </w:r>
      <w:r w:rsidR="00613439" w:rsidRPr="002809B8"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 Društveni centra Bibinje nudit će socijalne usluge za aktivno uključivanja i povećanje </w:t>
      </w:r>
      <w:proofErr w:type="spellStart"/>
      <w:r w:rsidR="00613439" w:rsidRPr="002809B8"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  <w:t>zapošljivosti</w:t>
      </w:r>
      <w:proofErr w:type="spellEnd"/>
      <w:r w:rsidR="00613439" w:rsidRPr="002809B8"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 ranjivih skupina te unaprijediti interkulturalne aktivnosti na prostoru urbane aglomeracije Zadar sa svrhom društvenog uključivanja ranjivih skupina.  U Društvenom centru Bibinje provodit će se sljedeće aktivnosti: mentorstvo, radionice, edukacije, provođenje slobodnog vremena, te adaptacija i opremanje Društvenog centra, pristup kulturnim uslugama i sadržajima te promoviranje kulture. Aktivnosti navedenog elementa se provode sa ciljem unaprjeđenja kvalitete i dostupnosti socijalnih usluga za ranjive skupine. pristup kulturnim uslugama i sadržajima te promoviranje kulture.</w:t>
      </w:r>
      <w:r w:rsidR="002809B8"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 Ovaj projekt završava u 2023. godinu i nije planiran projekcijama za 2024. i 2025 godinu. </w:t>
      </w:r>
      <w:r w:rsidR="00C25553" w:rsidRPr="002809B8"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  <w:t xml:space="preserve"> </w:t>
      </w:r>
    </w:p>
    <w:p w14:paraId="305FFF7C" w14:textId="6DD913C2" w:rsidR="00627FF3" w:rsidRDefault="00627FF3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4576"/>
        <w:gridCol w:w="1096"/>
        <w:gridCol w:w="1127"/>
      </w:tblGrid>
      <w:tr w:rsidR="00627FF3" w14:paraId="7F24D2A4" w14:textId="77777777" w:rsidTr="00E21580">
        <w:tc>
          <w:tcPr>
            <w:tcW w:w="2263" w:type="dxa"/>
            <w:shd w:val="clear" w:color="auto" w:fill="DBE5F1" w:themeFill="accent1" w:themeFillTint="33"/>
          </w:tcPr>
          <w:p w14:paraId="63B58672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4576" w:type="dxa"/>
            <w:shd w:val="clear" w:color="auto" w:fill="DBE5F1" w:themeFill="accent1" w:themeFillTint="33"/>
          </w:tcPr>
          <w:p w14:paraId="45F3A1F9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096" w:type="dxa"/>
            <w:shd w:val="clear" w:color="auto" w:fill="DBE5F1" w:themeFill="accent1" w:themeFillTint="33"/>
          </w:tcPr>
          <w:p w14:paraId="2E99B024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127" w:type="dxa"/>
            <w:shd w:val="clear" w:color="auto" w:fill="DBE5F1" w:themeFill="accent1" w:themeFillTint="33"/>
          </w:tcPr>
          <w:p w14:paraId="59071105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627FF3" w14:paraId="27BB3526" w14:textId="77777777" w:rsidTr="00E21580">
        <w:trPr>
          <w:trHeight w:val="1225"/>
        </w:trPr>
        <w:tc>
          <w:tcPr>
            <w:tcW w:w="2263" w:type="dxa"/>
            <w:shd w:val="clear" w:color="auto" w:fill="F2F2F2" w:themeFill="background1" w:themeFillShade="F2"/>
          </w:tcPr>
          <w:p w14:paraId="42B1D803" w14:textId="1849CE14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Hlk119588371"/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41514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14D">
              <w:rPr>
                <w:rFonts w:ascii="Times New Roman" w:hAnsi="Times New Roman" w:cs="Times New Roman"/>
              </w:rPr>
              <w:t>Ulaganje u razvoj kulturnih djelatnosti</w:t>
            </w:r>
          </w:p>
        </w:tc>
        <w:tc>
          <w:tcPr>
            <w:tcW w:w="4576" w:type="dxa"/>
            <w:shd w:val="clear" w:color="auto" w:fill="F2F2F2" w:themeFill="background1" w:themeFillShade="F2"/>
          </w:tcPr>
          <w:p w14:paraId="3BB8BD70" w14:textId="6273A344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Održane kulturne manifestacije</w:t>
            </w:r>
            <w:r>
              <w:rPr>
                <w:rFonts w:ascii="Times New Roman" w:hAnsi="Times New Roman" w:cs="Times New Roman"/>
              </w:rPr>
              <w:t>; s</w:t>
            </w:r>
            <w:r w:rsidRPr="00034E57">
              <w:rPr>
                <w:rFonts w:ascii="Times New Roman" w:hAnsi="Times New Roman" w:cs="Times New Roman"/>
              </w:rPr>
              <w:t>ufinancirani programi udruga u kulturi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t>f</w:t>
            </w:r>
            <w:r w:rsidRPr="00FD0106">
              <w:rPr>
                <w:rFonts w:ascii="Times New Roman" w:hAnsi="Times New Roman" w:cs="Times New Roman"/>
              </w:rPr>
              <w:t>inancirana arheološka istraživanja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39483D11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35B84AD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08FDAFFA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0754B61B" w14:textId="274999C9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7DAEAB2" w14:textId="6DD53470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46A940C" w14:textId="094B44EB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</w:tcPr>
          <w:p w14:paraId="07BE3A9F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27DBAA53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3121ED59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D9B35D6" w14:textId="4D9D797A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66D5006" w14:textId="31643F1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AA3C4A1" w14:textId="279F9D5A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E21580" w14:paraId="0CECA0F6" w14:textId="77777777" w:rsidTr="00E21580">
        <w:tc>
          <w:tcPr>
            <w:tcW w:w="2263" w:type="dxa"/>
          </w:tcPr>
          <w:p w14:paraId="1A4B04B9" w14:textId="7975B821" w:rsidR="00E21580" w:rsidRDefault="00E21580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Društveni centar </w:t>
            </w:r>
          </w:p>
        </w:tc>
        <w:tc>
          <w:tcPr>
            <w:tcW w:w="4576" w:type="dxa"/>
          </w:tcPr>
          <w:p w14:paraId="4B00F609" w14:textId="26ED6104" w:rsidR="00E21580" w:rsidRDefault="00E21580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34ABE">
              <w:rPr>
                <w:rFonts w:ascii="Times New Roman" w:hAnsi="Times New Roman" w:cs="Times New Roman"/>
              </w:rPr>
              <w:t>Projektom Društveni centar Bibinje obnovljen i adaptiran prostor za održavanje radionic</w:t>
            </w:r>
            <w:r>
              <w:rPr>
                <w:rFonts w:ascii="Times New Roman" w:hAnsi="Times New Roman" w:cs="Times New Roman"/>
              </w:rPr>
              <w:t>a</w:t>
            </w:r>
            <w:r w:rsidRPr="00C34ABE">
              <w:rPr>
                <w:rFonts w:ascii="Times New Roman" w:hAnsi="Times New Roman" w:cs="Times New Roman"/>
              </w:rPr>
              <w:t>, rad udruga, promoviranje kulturnih sa</w:t>
            </w:r>
            <w:r>
              <w:rPr>
                <w:rFonts w:ascii="Times New Roman" w:hAnsi="Times New Roman" w:cs="Times New Roman"/>
              </w:rPr>
              <w:t>d</w:t>
            </w:r>
            <w:r w:rsidRPr="00C34ABE">
              <w:rPr>
                <w:rFonts w:ascii="Times New Roman" w:hAnsi="Times New Roman" w:cs="Times New Roman"/>
              </w:rPr>
              <w:t>ržaja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6" w:type="dxa"/>
          </w:tcPr>
          <w:p w14:paraId="7EEBA662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</w:tcPr>
          <w:p w14:paraId="315B0C1E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BD7DFE7" w14:textId="77777777" w:rsidR="00627FF3" w:rsidRPr="002809B8" w:rsidRDefault="00627FF3" w:rsidP="00005F96">
      <w:pPr>
        <w:spacing w:after="0" w:line="240" w:lineRule="auto"/>
        <w:jc w:val="both"/>
        <w:rPr>
          <w:rFonts w:ascii="Arial Narrow" w:hAnsi="Arial Narrow" w:cs="Arial"/>
          <w:i/>
          <w:iCs/>
          <w:sz w:val="24"/>
          <w:szCs w:val="24"/>
          <w:shd w:val="clear" w:color="auto" w:fill="FFFFFF"/>
        </w:rPr>
      </w:pPr>
    </w:p>
    <w:p w14:paraId="72BB89F9" w14:textId="1FA8FD9C" w:rsidR="00613439" w:rsidRPr="006B0B33" w:rsidRDefault="00613439" w:rsidP="00005F96">
      <w:pPr>
        <w:spacing w:after="0" w:line="240" w:lineRule="auto"/>
        <w:jc w:val="both"/>
        <w:rPr>
          <w:rFonts w:ascii="Arial Narrow" w:hAnsi="Arial Narrow" w:cs="Arial"/>
          <w:i/>
          <w:iCs/>
          <w:color w:val="FF0000"/>
          <w:sz w:val="24"/>
          <w:szCs w:val="24"/>
          <w:shd w:val="clear" w:color="auto" w:fill="FFFFFF"/>
        </w:rPr>
      </w:pPr>
    </w:p>
    <w:p w14:paraId="31160FBB" w14:textId="45697B4E" w:rsidR="00613439" w:rsidRPr="002809B8" w:rsidRDefault="00613439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2809B8">
        <w:rPr>
          <w:rFonts w:ascii="Arial Narrow" w:hAnsi="Arial Narrow" w:cs="Arial"/>
          <w:b/>
          <w:bCs/>
          <w:i/>
          <w:iCs/>
          <w:sz w:val="24"/>
          <w:szCs w:val="24"/>
          <w:shd w:val="clear" w:color="auto" w:fill="FFFFFF"/>
        </w:rPr>
        <w:t>Program 1014 Javne potrebe u sportu</w:t>
      </w:r>
    </w:p>
    <w:p w14:paraId="58FEEDAC" w14:textId="0E813AA3" w:rsidR="00613439" w:rsidRPr="002809B8" w:rsidRDefault="00613439" w:rsidP="00005F96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14:paraId="118E9892" w14:textId="746E6168" w:rsidR="00613439" w:rsidRPr="002809B8" w:rsidRDefault="009E6326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>Djelatnost p</w:t>
      </w:r>
      <w:r w:rsidR="00613439"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rogram </w:t>
      </w: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javnih potreba u sportu </w:t>
      </w:r>
      <w:r w:rsidR="00613439"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je poticanje i promicanje sporta provođenjem dijela programa tjelesne i zdravstvene kulture djece i  mladeži, treninzi, organiziranje i provođenje sustava domaćih i međunarodnih natjecanja, te opća i posebna zdravstvena zaštita sportaša, sportsko-rekreacijske </w:t>
      </w:r>
      <w:r w:rsidR="00613439" w:rsidRPr="002809B8">
        <w:rPr>
          <w:rFonts w:ascii="Arial Narrow" w:hAnsi="Arial Narrow"/>
          <w:i/>
          <w:iCs/>
          <w:sz w:val="24"/>
          <w:szCs w:val="24"/>
          <w:lang w:eastAsia="hr-HR"/>
        </w:rPr>
        <w:lastRenderedPageBreak/>
        <w:t xml:space="preserve">aktivnosti građana, kao i druge sportske aktivnosti koje su u funkciji unapređenja i čuvanja zdravlja i postizanja psihofizičke sposobnosti pučanstva, stručni rad u sportu i izobrazba što su u funkciji realizacije rečenih javnih potreba. </w:t>
      </w:r>
    </w:p>
    <w:p w14:paraId="499BC0A0" w14:textId="77399F0D" w:rsidR="009E6326" w:rsidRPr="006B0B33" w:rsidRDefault="009E6326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7897A942" w14:textId="3B030E74" w:rsidR="009E6326" w:rsidRPr="002809B8" w:rsidRDefault="009E6326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809B8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javne potrebe u sportu -  </w:t>
      </w:r>
      <w:r w:rsidRPr="002809B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809B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u  iznosu 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244.209,98 eura 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4. godinu planiran iznos od 138.031,73 kuna 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dok je u </w:t>
      </w:r>
      <w:r w:rsidR="001975D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202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1975D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 </w:t>
      </w:r>
      <w:r w:rsidR="001975D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iznos od 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118.123,31 eura</w:t>
      </w:r>
      <w:r w:rsidR="00005F96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Namjena ovog programa je sufinanciranje programa sportskih udruga u iznosu 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91.578,75 eura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održavanje sportskih objekata u iznosu od 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19.908,42 eura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održavanje igrališta Franka Lisice te izgradnja i rekonstrukcija sportskih objekata u iznosu od 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132.722,81 eura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odnosi se na </w:t>
      </w:r>
      <w:r w:rsidR="001975D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izgradnju pomoćnog nogometnog igrališta. </w:t>
      </w:r>
    </w:p>
    <w:p w14:paraId="7954F7AA" w14:textId="7E81945A" w:rsidR="00A73BE5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0"/>
        <w:gridCol w:w="4114"/>
        <w:gridCol w:w="1276"/>
        <w:gridCol w:w="1412"/>
      </w:tblGrid>
      <w:tr w:rsidR="00627FF3" w14:paraId="4799BA43" w14:textId="77777777" w:rsidTr="00627FF3">
        <w:tc>
          <w:tcPr>
            <w:tcW w:w="2260" w:type="dxa"/>
            <w:shd w:val="clear" w:color="auto" w:fill="DBE5F1" w:themeFill="accent1" w:themeFillTint="33"/>
          </w:tcPr>
          <w:p w14:paraId="4DC43774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4114" w:type="dxa"/>
            <w:shd w:val="clear" w:color="auto" w:fill="DBE5F1" w:themeFill="accent1" w:themeFillTint="33"/>
          </w:tcPr>
          <w:p w14:paraId="7B90443D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896D5F6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412" w:type="dxa"/>
            <w:shd w:val="clear" w:color="auto" w:fill="DBE5F1" w:themeFill="accent1" w:themeFillTint="33"/>
          </w:tcPr>
          <w:p w14:paraId="7D9B3DAB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627FF3" w14:paraId="1D20F54E" w14:textId="77777777" w:rsidTr="00627FF3">
        <w:tc>
          <w:tcPr>
            <w:tcW w:w="2260" w:type="dxa"/>
            <w:shd w:val="clear" w:color="auto" w:fill="DBE5F1" w:themeFill="accent1" w:themeFillTint="33"/>
          </w:tcPr>
          <w:p w14:paraId="2179D500" w14:textId="3391745F" w:rsidR="00627FF3" w:rsidRDefault="00627FF3" w:rsidP="00627F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40F61">
              <w:rPr>
                <w:rFonts w:ascii="Times New Roman" w:hAnsi="Times New Roman" w:cs="Times New Roman"/>
              </w:rPr>
              <w:t>Ulaganje u sport i sportske objekte</w:t>
            </w:r>
          </w:p>
        </w:tc>
        <w:tc>
          <w:tcPr>
            <w:tcW w:w="4114" w:type="dxa"/>
            <w:shd w:val="clear" w:color="auto" w:fill="DBE5F1" w:themeFill="accent1" w:themeFillTint="33"/>
          </w:tcPr>
          <w:p w14:paraId="59ED15AC" w14:textId="7A994C01" w:rsidR="00627FF3" w:rsidRDefault="00627FF3" w:rsidP="00627F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1F86">
              <w:rPr>
                <w:rFonts w:ascii="Times New Roman" w:hAnsi="Times New Roman" w:cs="Times New Roman"/>
              </w:rPr>
              <w:t>Sufinancirane sportske udruge</w:t>
            </w:r>
            <w:r>
              <w:rPr>
                <w:rFonts w:ascii="Times New Roman" w:hAnsi="Times New Roman" w:cs="Times New Roman"/>
              </w:rPr>
              <w:t>; o</w:t>
            </w:r>
            <w:r w:rsidRPr="007E1F86">
              <w:rPr>
                <w:rFonts w:ascii="Times New Roman" w:hAnsi="Times New Roman" w:cs="Times New Roman"/>
              </w:rPr>
              <w:t>državani sportski objekti</w:t>
            </w:r>
            <w:r>
              <w:rPr>
                <w:rFonts w:ascii="Times New Roman" w:hAnsi="Times New Roman" w:cs="Times New Roman"/>
              </w:rPr>
              <w:t>; i</w:t>
            </w:r>
            <w:r w:rsidRPr="007E1F86">
              <w:rPr>
                <w:rFonts w:ascii="Times New Roman" w:hAnsi="Times New Roman" w:cs="Times New Roman"/>
              </w:rPr>
              <w:t>zgrađeno pomoćno nogometno igralište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14:paraId="6605BBE5" w14:textId="77777777" w:rsidR="00627FF3" w:rsidRDefault="00627FF3" w:rsidP="00627F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05063203" w14:textId="77777777" w:rsidR="00627FF3" w:rsidRDefault="00627FF3" w:rsidP="00627F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77655BEB" w14:textId="59B94D31" w:rsidR="00627FF3" w:rsidRDefault="00627FF3" w:rsidP="00627F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shd w:val="clear" w:color="auto" w:fill="DBE5F1" w:themeFill="accent1" w:themeFillTint="33"/>
          </w:tcPr>
          <w:p w14:paraId="34D3422B" w14:textId="77777777" w:rsidR="00627FF3" w:rsidRDefault="00627FF3" w:rsidP="00627F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279E3EA5" w14:textId="77777777" w:rsidR="00627FF3" w:rsidRDefault="00627FF3" w:rsidP="00627F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068450EB" w14:textId="7CD5FD4E" w:rsidR="00627FF3" w:rsidRDefault="00627FF3" w:rsidP="00627FF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4C254B3D" w14:textId="77777777" w:rsidR="00627FF3" w:rsidRPr="006B0B33" w:rsidRDefault="00627FF3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52899EED" w14:textId="46515AA4" w:rsidR="009E6326" w:rsidRPr="002809B8" w:rsidRDefault="009E6326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</w:pPr>
      <w:r w:rsidRPr="002809B8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1020 Religija – </w:t>
      </w:r>
      <w:r w:rsidRPr="002809B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809B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1975D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 </w:t>
      </w:r>
      <w:r w:rsidR="001975D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1.327,23 eura 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kao i u projekcij</w:t>
      </w:r>
      <w:r w:rsidR="001975D0"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2809B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Namjena ovog programa su donacije vjerskim zajednicama. </w:t>
      </w:r>
    </w:p>
    <w:p w14:paraId="5769A9ED" w14:textId="77777777" w:rsidR="009E6326" w:rsidRPr="006B0B33" w:rsidRDefault="009E6326" w:rsidP="00005F96">
      <w:pPr>
        <w:spacing w:after="0" w:line="240" w:lineRule="auto"/>
        <w:jc w:val="both"/>
        <w:rPr>
          <w:rFonts w:ascii="Arial Narrow" w:hAnsi="Arial Narrow"/>
          <w:b/>
          <w:bCs/>
          <w:i/>
          <w:iCs/>
          <w:color w:val="FF0000"/>
          <w:sz w:val="24"/>
          <w:szCs w:val="24"/>
          <w:lang w:eastAsia="hr-HR"/>
        </w:rPr>
      </w:pPr>
    </w:p>
    <w:p w14:paraId="4BAE2081" w14:textId="77777777" w:rsidR="00A73BE5" w:rsidRPr="002809B8" w:rsidRDefault="001B4A19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>Zakonske i druge pravne os</w:t>
      </w:r>
      <w:r w:rsidR="00A73BE5"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nove </w:t>
      </w:r>
    </w:p>
    <w:p w14:paraId="7221D67E" w14:textId="4E683D57" w:rsidR="00A73BE5" w:rsidRPr="002809B8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>Statut Općine Bibinje, Zakon o financiranju javnih potreba u kulturi</w:t>
      </w:r>
      <w:r w:rsidR="00613439" w:rsidRPr="002809B8">
        <w:rPr>
          <w:rFonts w:ascii="Arial Narrow" w:hAnsi="Arial Narrow"/>
          <w:i/>
          <w:iCs/>
          <w:sz w:val="24"/>
          <w:szCs w:val="24"/>
          <w:lang w:eastAsia="hr-HR"/>
        </w:rPr>
        <w:t>, Zakon o sportu,</w:t>
      </w:r>
      <w:r w:rsidR="001975D0"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 javnih potreba u sportu za 202</w:t>
      </w:r>
      <w:r w:rsidR="002B6BA8">
        <w:rPr>
          <w:rFonts w:ascii="Arial Narrow" w:hAnsi="Arial Narrow"/>
          <w:i/>
          <w:iCs/>
          <w:sz w:val="24"/>
          <w:szCs w:val="24"/>
          <w:lang w:eastAsia="hr-HR"/>
        </w:rPr>
        <w:t>3</w:t>
      </w:r>
      <w:r w:rsidR="001975D0" w:rsidRPr="002809B8">
        <w:rPr>
          <w:rFonts w:ascii="Arial Narrow" w:hAnsi="Arial Narrow"/>
          <w:i/>
          <w:iCs/>
          <w:sz w:val="24"/>
          <w:szCs w:val="24"/>
          <w:lang w:eastAsia="hr-HR"/>
        </w:rPr>
        <w:t>. godinu, Program javnih potreba u kulturi za 202</w:t>
      </w:r>
      <w:r w:rsidR="002809B8" w:rsidRPr="002809B8">
        <w:rPr>
          <w:rFonts w:ascii="Arial Narrow" w:hAnsi="Arial Narrow"/>
          <w:i/>
          <w:iCs/>
          <w:sz w:val="24"/>
          <w:szCs w:val="24"/>
          <w:lang w:eastAsia="hr-HR"/>
        </w:rPr>
        <w:t>3</w:t>
      </w:r>
      <w:r w:rsidR="001975D0"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. godinu </w:t>
      </w:r>
    </w:p>
    <w:p w14:paraId="6CCA9D58" w14:textId="77777777" w:rsidR="00A73BE5" w:rsidRPr="006B0B33" w:rsidRDefault="00A73BE5" w:rsidP="00005F96">
      <w:pPr>
        <w:spacing w:after="0" w:line="240" w:lineRule="auto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340333C7" w14:textId="3E5E25ED" w:rsidR="00876F98" w:rsidRPr="002809B8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2809B8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9E6326" w:rsidRPr="002809B8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2809B8">
        <w:rPr>
          <w:rFonts w:ascii="Arial Narrow" w:hAnsi="Arial Narrow"/>
          <w:b/>
          <w:i/>
          <w:iCs/>
          <w:sz w:val="24"/>
          <w:szCs w:val="24"/>
          <w:lang w:eastAsia="hr-HR"/>
        </w:rPr>
        <w:t>0-0</w:t>
      </w:r>
      <w:r w:rsidR="009E6326" w:rsidRPr="002809B8">
        <w:rPr>
          <w:rFonts w:ascii="Arial Narrow" w:hAnsi="Arial Narrow"/>
          <w:b/>
          <w:i/>
          <w:iCs/>
          <w:sz w:val="24"/>
          <w:szCs w:val="24"/>
          <w:lang w:eastAsia="hr-HR"/>
        </w:rPr>
        <w:t>8</w:t>
      </w:r>
      <w:r w:rsidRPr="002809B8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 Programska djelatnost socijalne skrbi </w:t>
      </w:r>
    </w:p>
    <w:p w14:paraId="79E6280A" w14:textId="6D916581" w:rsidR="00A73BE5" w:rsidRPr="002809B8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9E6326" w:rsidRPr="002809B8">
        <w:rPr>
          <w:rFonts w:ascii="Arial Narrow" w:hAnsi="Arial Narrow"/>
          <w:i/>
          <w:iCs/>
          <w:sz w:val="24"/>
          <w:szCs w:val="24"/>
          <w:lang w:eastAsia="hr-HR"/>
        </w:rPr>
        <w:t>socijalna skrb i zdravstvo</w:t>
      </w: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  ima </w:t>
      </w:r>
      <w:r w:rsidR="009E6326" w:rsidRPr="002809B8">
        <w:rPr>
          <w:rFonts w:ascii="Arial Narrow" w:hAnsi="Arial Narrow"/>
          <w:i/>
          <w:iCs/>
          <w:sz w:val="24"/>
          <w:szCs w:val="24"/>
          <w:lang w:eastAsia="hr-HR"/>
        </w:rPr>
        <w:t>dva</w:t>
      </w: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 socijalna skrb i </w:t>
      </w:r>
      <w:r w:rsidR="009E6326" w:rsidRPr="002809B8">
        <w:rPr>
          <w:rFonts w:ascii="Arial Narrow" w:hAnsi="Arial Narrow"/>
          <w:i/>
          <w:iCs/>
          <w:sz w:val="24"/>
          <w:szCs w:val="24"/>
          <w:lang w:eastAsia="hr-HR"/>
        </w:rPr>
        <w:t>zdravstvo</w:t>
      </w: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>. U ovoj glavi osigurana su sredstva za potrebe socijalne skrbi koja će se koristiti za osiguranje i pomoć socijalno ugroženom stanovništvu Općine Bibinje, kao i sredstva za davanje pomoći udrugama građana</w:t>
      </w:r>
      <w:r w:rsidR="009E6326"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 te pomoći zdravstvenim ustanovama. </w:t>
      </w:r>
    </w:p>
    <w:p w14:paraId="7DF00311" w14:textId="3BD87EE9" w:rsidR="009E6326" w:rsidRPr="00D83CF7" w:rsidRDefault="009E6326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D83CF7">
        <w:rPr>
          <w:rFonts w:ascii="Arial Narrow" w:hAnsi="Arial Narrow"/>
          <w:b/>
          <w:bCs/>
          <w:i/>
          <w:iCs/>
          <w:sz w:val="24"/>
          <w:szCs w:val="24"/>
          <w:lang w:eastAsia="hr-HR"/>
        </w:rPr>
        <w:t xml:space="preserve">Program 1015 Socijalna skrb - </w:t>
      </w:r>
      <w:r w:rsidRPr="00D83CF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D83CF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0C05EB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0C05EB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170.878,61 eura </w:t>
      </w:r>
      <w:r w:rsidR="000C05EB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2025.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planiran iznos od 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106.443,67 eura. 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Namjena ovog programa je </w:t>
      </w:r>
      <w:r w:rsidR="003755B1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davanje jednokratne pomoći socijalno ugroženom stanovništvu općine Bibinje u iznosu 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6.636,14 eura</w:t>
      </w:r>
      <w:r w:rsidR="00A84453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sufinanciranje cijene prijevoza u iznosu od 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9.556,04 eura</w:t>
      </w:r>
      <w:r w:rsidR="00A84453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</w:t>
      </w:r>
      <w:r w:rsidR="003755B1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naknada za novorođenu djecu u iznosu 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39.816,86 eura</w:t>
      </w:r>
      <w:r w:rsidR="00A84453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, </w:t>
      </w:r>
      <w:r w:rsidR="003755B1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sufinanciranje programa udruga u iznosu 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17.917,58 eura</w:t>
      </w:r>
      <w:r w:rsidR="00A84453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, jednokratne financijske pomoći umirovljenicima (božićnica)</w:t>
      </w:r>
      <w:r w:rsidR="00005F96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21.235,65 eura</w:t>
      </w:r>
      <w:r w:rsidR="00A84453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troškovi projekta ispunite svoju zlatnu dob u iznosu od 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6.636,14 eura</w:t>
      </w:r>
      <w:r w:rsidR="00A84453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kojemu je Općina Bibinje partner Općini Poličnik te  </w:t>
      </w:r>
      <w:r w:rsidR="003755B1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troškovi projekta Podrškom za njih u iznosu 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58.462,41 eura</w:t>
      </w:r>
      <w:r w:rsidR="003755B1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Projekt Podrškom za njih financiran je sredstvima iz EU fondova </w:t>
      </w:r>
      <w:r w:rsidR="0017326E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 počeo je krajem 2020. godine te se projektom zaposlilo pet žena za pružanje pomoći starijima i nemoćnima.</w:t>
      </w:r>
      <w:r w:rsid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</w:p>
    <w:p w14:paraId="790F9328" w14:textId="6D4E7871" w:rsidR="0017326E" w:rsidRDefault="0017326E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05"/>
        <w:gridCol w:w="4565"/>
        <w:gridCol w:w="1096"/>
        <w:gridCol w:w="1096"/>
      </w:tblGrid>
      <w:tr w:rsidR="00627FF3" w14:paraId="14E11C8C" w14:textId="77777777" w:rsidTr="00580BB2">
        <w:tc>
          <w:tcPr>
            <w:tcW w:w="2305" w:type="dxa"/>
            <w:shd w:val="clear" w:color="auto" w:fill="DBE5F1" w:themeFill="accent1" w:themeFillTint="33"/>
          </w:tcPr>
          <w:p w14:paraId="2ABF52BF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4565" w:type="dxa"/>
            <w:shd w:val="clear" w:color="auto" w:fill="DBE5F1" w:themeFill="accent1" w:themeFillTint="33"/>
          </w:tcPr>
          <w:p w14:paraId="08D64387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096" w:type="dxa"/>
            <w:shd w:val="clear" w:color="auto" w:fill="DBE5F1" w:themeFill="accent1" w:themeFillTint="33"/>
          </w:tcPr>
          <w:p w14:paraId="1EE9593A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096" w:type="dxa"/>
            <w:shd w:val="clear" w:color="auto" w:fill="DBE5F1" w:themeFill="accent1" w:themeFillTint="33"/>
          </w:tcPr>
          <w:p w14:paraId="7910CEF9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627FF3" w14:paraId="0C2472F7" w14:textId="77777777" w:rsidTr="00580BB2">
        <w:tc>
          <w:tcPr>
            <w:tcW w:w="2305" w:type="dxa"/>
            <w:shd w:val="clear" w:color="auto" w:fill="F2F2F2" w:themeFill="background1" w:themeFillShade="F2"/>
          </w:tcPr>
          <w:p w14:paraId="1B10E487" w14:textId="5D707488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Pr="002B56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</w:t>
            </w:r>
            <w:r w:rsidRPr="002B56D6">
              <w:rPr>
                <w:rFonts w:ascii="Times New Roman" w:hAnsi="Times New Roman" w:cs="Times New Roman"/>
              </w:rPr>
              <w:t>omoć obiteljima poginulih branitelja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721BD553" w14:textId="77777777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Isplaćene jednokratne naknade za 5 obitelji 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30D3B987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45814AEE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27FF3" w14:paraId="13943543" w14:textId="77777777" w:rsidTr="00580BB2">
        <w:tc>
          <w:tcPr>
            <w:tcW w:w="2305" w:type="dxa"/>
            <w:shd w:val="clear" w:color="auto" w:fill="F2F2F2" w:themeFill="background1" w:themeFillShade="F2"/>
          </w:tcPr>
          <w:p w14:paraId="6D5B33C9" w14:textId="57661CB1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.2</w:t>
            </w:r>
            <w:r w:rsidRPr="002B56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</w:t>
            </w:r>
            <w:r w:rsidRPr="002B56D6">
              <w:rPr>
                <w:rFonts w:ascii="Times New Roman" w:hAnsi="Times New Roman" w:cs="Times New Roman"/>
              </w:rPr>
              <w:t>omoć z</w:t>
            </w:r>
            <w:bookmarkStart w:id="1" w:name="_GoBack"/>
            <w:bookmarkEnd w:id="1"/>
            <w:r w:rsidRPr="002B56D6">
              <w:rPr>
                <w:rFonts w:ascii="Times New Roman" w:hAnsi="Times New Roman" w:cs="Times New Roman"/>
              </w:rPr>
              <w:t>a nezaposlene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5EDE9FDA" w14:textId="77777777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Isplaćene jednokratne novčane naknade za cca 15 korisnika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1DA75586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3788BBAA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27FF3" w14:paraId="2469734E" w14:textId="77777777" w:rsidTr="00580BB2">
        <w:trPr>
          <w:trHeight w:val="550"/>
        </w:trPr>
        <w:tc>
          <w:tcPr>
            <w:tcW w:w="2305" w:type="dxa"/>
            <w:shd w:val="clear" w:color="auto" w:fill="F2F2F2" w:themeFill="background1" w:themeFillShade="F2"/>
          </w:tcPr>
          <w:p w14:paraId="37CC1046" w14:textId="36B74FE8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.3. Ostale pomoći (voda, struja, ogrjev)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14:paraId="2A992B77" w14:textId="77777777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Isplaćene jednokratne novčane naknade za cca 15 korisnika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51254C7F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1EF47CEE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80BB2" w:rsidRPr="00720FC8" w14:paraId="3EBD22A7" w14:textId="77777777" w:rsidTr="00580BB2">
        <w:tc>
          <w:tcPr>
            <w:tcW w:w="2305" w:type="dxa"/>
          </w:tcPr>
          <w:p w14:paraId="081004BB" w14:textId="3131DF9B" w:rsidR="00580BB2" w:rsidRPr="00720FC8" w:rsidRDefault="00580BB2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20FC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720FC8">
              <w:rPr>
                <w:rFonts w:ascii="Times New Roman" w:hAnsi="Times New Roman" w:cs="Times New Roman"/>
              </w:rPr>
              <w:t>. Potpore za novorođenčad</w:t>
            </w:r>
          </w:p>
        </w:tc>
        <w:tc>
          <w:tcPr>
            <w:tcW w:w="4565" w:type="dxa"/>
          </w:tcPr>
          <w:p w14:paraId="69923DAB" w14:textId="77777777" w:rsidR="00580BB2" w:rsidRPr="00720FC8" w:rsidRDefault="00580BB2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20FC8">
              <w:rPr>
                <w:rFonts w:ascii="Times New Roman" w:hAnsi="Times New Roman" w:cs="Times New Roman"/>
              </w:rPr>
              <w:t>Isplaćene potpore za novorođenu djecu u iznosu od 900.000,00 kn</w:t>
            </w:r>
          </w:p>
        </w:tc>
        <w:tc>
          <w:tcPr>
            <w:tcW w:w="1096" w:type="dxa"/>
          </w:tcPr>
          <w:p w14:paraId="2A54AAC1" w14:textId="77777777" w:rsidR="00580BB2" w:rsidRPr="00720FC8" w:rsidRDefault="00580BB2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0FC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14:paraId="0D277B98" w14:textId="77777777" w:rsidR="00580BB2" w:rsidRPr="00720FC8" w:rsidRDefault="00580BB2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20FC8">
              <w:rPr>
                <w:rFonts w:ascii="Times New Roman" w:hAnsi="Times New Roman" w:cs="Times New Roman"/>
              </w:rPr>
              <w:t>60</w:t>
            </w:r>
          </w:p>
        </w:tc>
      </w:tr>
    </w:tbl>
    <w:p w14:paraId="766F6695" w14:textId="77777777" w:rsidR="00627FF3" w:rsidRPr="006B0B33" w:rsidRDefault="00627FF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31E28709" w14:textId="318142BC" w:rsidR="00A73BE5" w:rsidRDefault="0017326E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  <w:r w:rsidRPr="00D83CF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1016 Zdravstvo - </w:t>
      </w:r>
      <w:r w:rsidRPr="00D83CF7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D83CF7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EF340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 planiraju se</w:t>
      </w:r>
      <w:r w:rsidR="00A84453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sredstva 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 iznosu</w:t>
      </w:r>
      <w:r w:rsidR="00A84453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 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5.308,91 eura</w:t>
      </w:r>
      <w:r w:rsidR="00A84453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kao i u projekcij</w:t>
      </w:r>
      <w:r w:rsidR="00A84453"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godinu. Namjena ovog programa je pomoć zdravstvenim ustanovama u iznosu od 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2.654,46 eura, sufinanciranje dodatnih timova hitne pomoći u sezoni u iznosu od 1.990,84 eura</w:t>
      </w:r>
      <w:r w:rsidRPr="00D83CF7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zbrinjavanje životinja u iznosu od 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663,61 eura</w:t>
      </w:r>
      <w:r w:rsidRPr="006B0B33"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  <w:t>.</w:t>
      </w:r>
    </w:p>
    <w:p w14:paraId="46E9FCC4" w14:textId="1992B636" w:rsidR="00627FF3" w:rsidRDefault="00627FF3" w:rsidP="00005F9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1167"/>
        <w:gridCol w:w="1096"/>
      </w:tblGrid>
      <w:tr w:rsidR="00627FF3" w14:paraId="355B836F" w14:textId="77777777" w:rsidTr="00627FF3">
        <w:tc>
          <w:tcPr>
            <w:tcW w:w="2689" w:type="dxa"/>
            <w:shd w:val="clear" w:color="auto" w:fill="DBE5F1" w:themeFill="accent1" w:themeFillTint="33"/>
          </w:tcPr>
          <w:p w14:paraId="7118337C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4110" w:type="dxa"/>
            <w:shd w:val="clear" w:color="auto" w:fill="DBE5F1" w:themeFill="accent1" w:themeFillTint="33"/>
          </w:tcPr>
          <w:p w14:paraId="487C0133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167" w:type="dxa"/>
            <w:shd w:val="clear" w:color="auto" w:fill="DBE5F1" w:themeFill="accent1" w:themeFillTint="33"/>
          </w:tcPr>
          <w:p w14:paraId="5846E3C2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096" w:type="dxa"/>
            <w:shd w:val="clear" w:color="auto" w:fill="DBE5F1" w:themeFill="accent1" w:themeFillTint="33"/>
          </w:tcPr>
          <w:p w14:paraId="329C6856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627FF3" w14:paraId="094DD582" w14:textId="77777777" w:rsidTr="00627FF3">
        <w:tc>
          <w:tcPr>
            <w:tcW w:w="2689" w:type="dxa"/>
            <w:shd w:val="clear" w:color="auto" w:fill="F2F2F2" w:themeFill="background1" w:themeFillShade="F2"/>
          </w:tcPr>
          <w:p w14:paraId="12CE0B26" w14:textId="77777777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 Pomoć zdravstvenim ustanovama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058E71C5" w14:textId="77777777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01257">
              <w:rPr>
                <w:rFonts w:ascii="Times New Roman" w:hAnsi="Times New Roman" w:cs="Times New Roman"/>
              </w:rPr>
              <w:t>oboljšanje opremljenosti i unapređenje uvjeta za pružanje zdravstvenih usluga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14:paraId="44AF588D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15E4E5BA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7FF3" w14:paraId="47910943" w14:textId="77777777" w:rsidTr="00627FF3">
        <w:tc>
          <w:tcPr>
            <w:tcW w:w="2689" w:type="dxa"/>
            <w:shd w:val="clear" w:color="auto" w:fill="F2F2F2" w:themeFill="background1" w:themeFillShade="F2"/>
          </w:tcPr>
          <w:p w14:paraId="0A0493E7" w14:textId="77777777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 Zbrinjavanje životinja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6CAAB6D1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Zbrinute životinje</w:t>
            </w:r>
          </w:p>
        </w:tc>
        <w:tc>
          <w:tcPr>
            <w:tcW w:w="1167" w:type="dxa"/>
            <w:shd w:val="clear" w:color="auto" w:fill="F2F2F2" w:themeFill="background1" w:themeFillShade="F2"/>
          </w:tcPr>
          <w:p w14:paraId="6C346F14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14:paraId="3296358C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2C64E247" w14:textId="77777777" w:rsidR="00627FF3" w:rsidRPr="006B0B33" w:rsidRDefault="00627FF3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FF0000"/>
          <w:sz w:val="24"/>
          <w:szCs w:val="24"/>
          <w:lang w:eastAsia="hr-HR"/>
        </w:rPr>
      </w:pPr>
    </w:p>
    <w:p w14:paraId="5C692B24" w14:textId="77777777" w:rsidR="0017326E" w:rsidRPr="006B0B33" w:rsidRDefault="0017326E" w:rsidP="00005F9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iCs/>
          <w:color w:val="FF0000"/>
          <w:sz w:val="24"/>
          <w:szCs w:val="24"/>
          <w:lang w:eastAsia="hr-HR"/>
        </w:rPr>
      </w:pPr>
    </w:p>
    <w:p w14:paraId="280B5B1E" w14:textId="77777777" w:rsidR="00A73BE5" w:rsidRPr="002809B8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Zakonske i druge pravne osnove </w:t>
      </w:r>
    </w:p>
    <w:p w14:paraId="56B36484" w14:textId="569EDA7A" w:rsidR="00A73BE5" w:rsidRPr="002809B8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Zakon o socijalnoj skrbi, Statut Općine Bibinje, </w:t>
      </w:r>
      <w:r w:rsidRPr="002809B8">
        <w:rPr>
          <w:rFonts w:ascii="Arial Narrow" w:hAnsi="Arial Narrow"/>
          <w:i/>
          <w:iCs/>
          <w:sz w:val="24"/>
          <w:szCs w:val="24"/>
        </w:rPr>
        <w:t xml:space="preserve">Odluka o dodjeli jednokratne novčane potpore za novorođenu djecu na području Općine Bibinje, </w:t>
      </w:r>
      <w:r w:rsidR="001975D0" w:rsidRPr="002809B8">
        <w:rPr>
          <w:rFonts w:ascii="Arial Narrow" w:hAnsi="Arial Narrow"/>
          <w:i/>
          <w:iCs/>
          <w:sz w:val="24"/>
          <w:szCs w:val="24"/>
        </w:rPr>
        <w:t>Program socijalne skrbi i zdravstva za 202</w:t>
      </w:r>
      <w:r w:rsidR="002B6BA8">
        <w:rPr>
          <w:rFonts w:ascii="Arial Narrow" w:hAnsi="Arial Narrow"/>
          <w:i/>
          <w:iCs/>
          <w:sz w:val="24"/>
          <w:szCs w:val="24"/>
        </w:rPr>
        <w:t>3</w:t>
      </w:r>
      <w:r w:rsidR="001975D0" w:rsidRPr="002809B8">
        <w:rPr>
          <w:rFonts w:ascii="Arial Narrow" w:hAnsi="Arial Narrow"/>
          <w:i/>
          <w:iCs/>
          <w:sz w:val="24"/>
          <w:szCs w:val="24"/>
        </w:rPr>
        <w:t xml:space="preserve">. godinu </w:t>
      </w:r>
    </w:p>
    <w:p w14:paraId="3B23F4E5" w14:textId="77777777" w:rsidR="00A73BE5" w:rsidRPr="006B0B33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color w:val="FF0000"/>
          <w:sz w:val="24"/>
          <w:szCs w:val="24"/>
          <w:lang w:eastAsia="hr-HR"/>
        </w:rPr>
      </w:pPr>
    </w:p>
    <w:p w14:paraId="6D76BFF8" w14:textId="5F005EB7" w:rsidR="00876F98" w:rsidRPr="002809B8" w:rsidRDefault="00876F98" w:rsidP="00005F96">
      <w:pPr>
        <w:spacing w:line="240" w:lineRule="auto"/>
        <w:rPr>
          <w:rFonts w:ascii="Arial Narrow" w:hAnsi="Arial Narrow"/>
          <w:b/>
          <w:i/>
          <w:iCs/>
          <w:sz w:val="24"/>
          <w:szCs w:val="24"/>
          <w:lang w:eastAsia="hr-HR"/>
        </w:rPr>
      </w:pPr>
      <w:r w:rsidRPr="002809B8">
        <w:rPr>
          <w:rFonts w:ascii="Arial Narrow" w:hAnsi="Arial Narrow"/>
          <w:b/>
          <w:i/>
          <w:iCs/>
          <w:sz w:val="24"/>
          <w:szCs w:val="24"/>
          <w:lang w:eastAsia="hr-HR"/>
        </w:rPr>
        <w:t>Glava 0</w:t>
      </w:r>
      <w:r w:rsidR="0017326E" w:rsidRPr="002809B8">
        <w:rPr>
          <w:rFonts w:ascii="Arial Narrow" w:hAnsi="Arial Narrow"/>
          <w:b/>
          <w:i/>
          <w:iCs/>
          <w:sz w:val="24"/>
          <w:szCs w:val="24"/>
          <w:lang w:eastAsia="hr-HR"/>
        </w:rPr>
        <w:t>1</w:t>
      </w:r>
      <w:r w:rsidRPr="002809B8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0-09 </w:t>
      </w:r>
      <w:r w:rsidR="0017326E" w:rsidRPr="002809B8">
        <w:rPr>
          <w:rFonts w:ascii="Arial Narrow" w:hAnsi="Arial Narrow"/>
          <w:b/>
          <w:i/>
          <w:iCs/>
          <w:sz w:val="24"/>
          <w:szCs w:val="24"/>
          <w:lang w:eastAsia="hr-HR"/>
        </w:rPr>
        <w:t xml:space="preserve">Gospodarstvo </w:t>
      </w:r>
    </w:p>
    <w:p w14:paraId="7FAF7192" w14:textId="282F62DA" w:rsidR="00A73BE5" w:rsidRPr="002809B8" w:rsidRDefault="00A73BE5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Glava </w:t>
      </w:r>
      <w:r w:rsidR="0017326E" w:rsidRPr="002809B8">
        <w:rPr>
          <w:rFonts w:ascii="Arial Narrow" w:hAnsi="Arial Narrow"/>
          <w:i/>
          <w:iCs/>
          <w:sz w:val="24"/>
          <w:szCs w:val="24"/>
          <w:lang w:eastAsia="hr-HR"/>
        </w:rPr>
        <w:t>gospodarstvo</w:t>
      </w: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 ima </w:t>
      </w:r>
      <w:r w:rsidR="0017326E"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tri programa </w:t>
      </w: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 program </w:t>
      </w:r>
      <w:r w:rsidR="0017326E"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razvoj gospodarski djelatnosti, trgovačka društva u vlasništvu općine i poljoprivreda. Cilj ove glave </w:t>
      </w: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  <w:r w:rsidRPr="002809B8">
        <w:rPr>
          <w:rFonts w:ascii="Arial Narrow" w:hAnsi="Arial Narrow"/>
          <w:i/>
          <w:iCs/>
          <w:sz w:val="24"/>
          <w:szCs w:val="24"/>
        </w:rPr>
        <w:t xml:space="preserve">doprinose razvitku i unaprjeđenju </w:t>
      </w:r>
      <w:r w:rsidR="0017326E" w:rsidRPr="002809B8">
        <w:rPr>
          <w:rFonts w:ascii="Arial Narrow" w:hAnsi="Arial Narrow"/>
          <w:i/>
          <w:iCs/>
          <w:sz w:val="24"/>
          <w:szCs w:val="24"/>
        </w:rPr>
        <w:t>gospodarskog razvoja</w:t>
      </w:r>
      <w:r w:rsidR="001371BF" w:rsidRPr="002809B8">
        <w:rPr>
          <w:rFonts w:ascii="Arial Narrow" w:hAnsi="Arial Narrow"/>
          <w:i/>
          <w:iCs/>
          <w:sz w:val="24"/>
          <w:szCs w:val="24"/>
        </w:rPr>
        <w:t xml:space="preserve"> te poticanje za razvoj poljoprivrede</w:t>
      </w:r>
      <w:r w:rsidRPr="002809B8">
        <w:rPr>
          <w:rFonts w:ascii="Arial Narrow" w:hAnsi="Arial Narrow"/>
          <w:i/>
          <w:iCs/>
          <w:sz w:val="24"/>
          <w:szCs w:val="24"/>
        </w:rPr>
        <w:t xml:space="preserve"> na </w:t>
      </w:r>
      <w:r w:rsidR="00A448E8" w:rsidRPr="002809B8">
        <w:rPr>
          <w:rFonts w:ascii="Arial Narrow" w:hAnsi="Arial Narrow"/>
          <w:i/>
          <w:iCs/>
          <w:sz w:val="24"/>
          <w:szCs w:val="24"/>
        </w:rPr>
        <w:t xml:space="preserve">području </w:t>
      </w:r>
      <w:r w:rsidRPr="002809B8">
        <w:rPr>
          <w:rFonts w:ascii="Arial Narrow" w:hAnsi="Arial Narrow"/>
          <w:i/>
          <w:iCs/>
          <w:sz w:val="24"/>
          <w:szCs w:val="24"/>
        </w:rPr>
        <w:t xml:space="preserve"> Općine Bibinje.</w:t>
      </w:r>
    </w:p>
    <w:p w14:paraId="2506A018" w14:textId="3B6C7A76" w:rsidR="0017326E" w:rsidRDefault="001371BF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B6BA8">
        <w:rPr>
          <w:rFonts w:ascii="Arial Narrow" w:hAnsi="Arial Narrow"/>
          <w:b/>
          <w:bCs/>
          <w:i/>
          <w:iCs/>
          <w:sz w:val="24"/>
          <w:szCs w:val="24"/>
        </w:rPr>
        <w:t xml:space="preserve">Program 1017 Razvoj gospodarskih djelatnosti - </w:t>
      </w:r>
      <w:r w:rsidRPr="002B6BA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B6BA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A448E8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A448E8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237.839,25 eura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je u projekciji za 202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A448E8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godinu planiran iznos od 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1.019.311,15 eura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a u projekciji za 202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planiran je iznos od 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355.697,11 eura</w:t>
      </w:r>
      <w:r w:rsidR="00A448E8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A4880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Namjena ovog programa je unaprjeđenje turističke djelatnosti te se ulaganje u turizam planira u iznosu od 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63.972,37 eura</w:t>
      </w:r>
      <w:r w:rsidR="00A448E8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i </w:t>
      </w:r>
      <w:r w:rsidR="009A4880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kroz ulaganja u PZ </w:t>
      </w:r>
      <w:proofErr w:type="spellStart"/>
      <w:r w:rsidR="009A4880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9A4880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u iznosu od 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31.853,48 eura</w:t>
      </w:r>
      <w:r w:rsidR="00A448E8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9A4880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s ciljem otvaranja novih radnih mjesta i zapošljavanja. </w:t>
      </w:r>
      <w:r w:rsidR="00A448E8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Povećanje ovog programa u projekcijama za 202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A448E8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A448E8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odnosi se na širenje Poslovne zone </w:t>
      </w:r>
      <w:proofErr w:type="spellStart"/>
      <w:r w:rsidR="00A448E8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Lonići</w:t>
      </w:r>
      <w:proofErr w:type="spellEnd"/>
      <w:r w:rsidR="00A448E8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1417"/>
        <w:gridCol w:w="1129"/>
      </w:tblGrid>
      <w:tr w:rsidR="00627FF3" w14:paraId="6256CF5A" w14:textId="77777777" w:rsidTr="00E21580">
        <w:tc>
          <w:tcPr>
            <w:tcW w:w="2830" w:type="dxa"/>
            <w:shd w:val="clear" w:color="auto" w:fill="DBE5F1" w:themeFill="accent1" w:themeFillTint="33"/>
          </w:tcPr>
          <w:p w14:paraId="40AD5A66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5571E1EE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0CF5505D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129" w:type="dxa"/>
            <w:shd w:val="clear" w:color="auto" w:fill="DBE5F1" w:themeFill="accent1" w:themeFillTint="33"/>
          </w:tcPr>
          <w:p w14:paraId="3A18BEA7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627FF3" w14:paraId="04041145" w14:textId="77777777" w:rsidTr="00E21580">
        <w:tc>
          <w:tcPr>
            <w:tcW w:w="2830" w:type="dxa"/>
            <w:shd w:val="clear" w:color="auto" w:fill="F2F2F2" w:themeFill="background1" w:themeFillShade="F2"/>
          </w:tcPr>
          <w:p w14:paraId="375DA2DC" w14:textId="2E9D26CA" w:rsidR="00627FF3" w:rsidRPr="00580BB2" w:rsidRDefault="00627FF3" w:rsidP="00580BB2">
            <w:pPr>
              <w:pStyle w:val="Odlomakpopisa"/>
              <w:numPr>
                <w:ilvl w:val="1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0BB2">
              <w:rPr>
                <w:rFonts w:ascii="Times New Roman" w:hAnsi="Times New Roman" w:cs="Times New Roman"/>
              </w:rPr>
              <w:t xml:space="preserve">Širenje poslovne zone </w:t>
            </w:r>
            <w:proofErr w:type="spellStart"/>
            <w:r w:rsidRPr="00580BB2">
              <w:rPr>
                <w:rFonts w:ascii="Times New Roman" w:hAnsi="Times New Roman" w:cs="Times New Roman"/>
              </w:rPr>
              <w:t>Lonići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</w:tcPr>
          <w:p w14:paraId="1E3DB2BB" w14:textId="77777777" w:rsidR="00627FF3" w:rsidRDefault="00627FF3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D0D">
              <w:rPr>
                <w:rFonts w:ascii="Times New Roman" w:hAnsi="Times New Roman" w:cs="Times New Roman"/>
              </w:rPr>
              <w:t>Završen dio stare poslovne zone i izgrađen novi dio (cca 120000 m²)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FFE7D7C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shd w:val="clear" w:color="auto" w:fill="F2F2F2" w:themeFill="background1" w:themeFillShade="F2"/>
          </w:tcPr>
          <w:p w14:paraId="2120D7D0" w14:textId="77777777" w:rsidR="00627FF3" w:rsidRDefault="00627FF3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1580" w14:paraId="2FC449A3" w14:textId="77777777" w:rsidTr="00580BB2">
        <w:trPr>
          <w:trHeight w:val="1484"/>
        </w:trPr>
        <w:tc>
          <w:tcPr>
            <w:tcW w:w="2830" w:type="dxa"/>
          </w:tcPr>
          <w:p w14:paraId="12688EEC" w14:textId="692FEA78" w:rsidR="00E21580" w:rsidRDefault="00E21580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80BB2">
              <w:rPr>
                <w:rFonts w:ascii="Times New Roman" w:hAnsi="Times New Roman" w:cs="Times New Roman"/>
              </w:rPr>
              <w:t>2</w:t>
            </w:r>
            <w:r w:rsidRPr="004151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514D">
              <w:rPr>
                <w:rFonts w:ascii="Times New Roman" w:hAnsi="Times New Roman" w:cs="Times New Roman"/>
              </w:rPr>
              <w:t>Ulaganje u razvoj turistički</w:t>
            </w:r>
            <w:r w:rsidR="00580BB2">
              <w:rPr>
                <w:rFonts w:ascii="Times New Roman" w:hAnsi="Times New Roman" w:cs="Times New Roman"/>
              </w:rPr>
              <w:t xml:space="preserve"> </w:t>
            </w:r>
            <w:r w:rsidRPr="0041514D">
              <w:rPr>
                <w:rFonts w:ascii="Times New Roman" w:hAnsi="Times New Roman" w:cs="Times New Roman"/>
              </w:rPr>
              <w:t>djelatnosti</w:t>
            </w:r>
          </w:p>
        </w:tc>
        <w:tc>
          <w:tcPr>
            <w:tcW w:w="3686" w:type="dxa"/>
          </w:tcPr>
          <w:p w14:paraId="503FB06D" w14:textId="5DAED908" w:rsidR="00E21580" w:rsidRDefault="00E21580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 xml:space="preserve">Održane </w:t>
            </w:r>
            <w:r w:rsidR="00580BB2">
              <w:rPr>
                <w:rFonts w:ascii="Times New Roman" w:hAnsi="Times New Roman" w:cs="Times New Roman"/>
              </w:rPr>
              <w:t>turističkih</w:t>
            </w:r>
            <w:r w:rsidRPr="000C1F1A">
              <w:rPr>
                <w:rFonts w:ascii="Times New Roman" w:hAnsi="Times New Roman" w:cs="Times New Roman"/>
              </w:rPr>
              <w:t xml:space="preserve"> manifestacij</w:t>
            </w:r>
            <w:r w:rsidR="00580BB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; s</w:t>
            </w:r>
            <w:r w:rsidRPr="00034E57">
              <w:rPr>
                <w:rFonts w:ascii="Times New Roman" w:hAnsi="Times New Roman" w:cs="Times New Roman"/>
              </w:rPr>
              <w:t>ufinanciran</w:t>
            </w:r>
            <w:r w:rsidR="00580BB2">
              <w:rPr>
                <w:rFonts w:ascii="Times New Roman" w:hAnsi="Times New Roman" w:cs="Times New Roman"/>
              </w:rPr>
              <w:t xml:space="preserve">je Turističke zajednice, </w:t>
            </w:r>
            <w:r>
              <w:lastRenderedPageBreak/>
              <w:t>f</w:t>
            </w:r>
            <w:r w:rsidRPr="00FD0106">
              <w:rPr>
                <w:rFonts w:ascii="Times New Roman" w:hAnsi="Times New Roman" w:cs="Times New Roman"/>
              </w:rPr>
              <w:t xml:space="preserve">inancirana </w:t>
            </w:r>
            <w:r>
              <w:t>f</w:t>
            </w:r>
            <w:r w:rsidRPr="00075B96">
              <w:rPr>
                <w:rFonts w:ascii="Times New Roman" w:hAnsi="Times New Roman" w:cs="Times New Roman"/>
              </w:rPr>
              <w:t>inancirani međunarodni letovi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Ryanair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14:paraId="36602462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14:paraId="113A3899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019A062D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0CEB8F7E" w14:textId="4EA78D4E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3EC8F85" w14:textId="17C8E75E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654AAFE0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  <w:p w14:paraId="202236AC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B9831E2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3A51931" w14:textId="393F5B8A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A2D40A" w14:textId="77777777" w:rsidR="00627FF3" w:rsidRPr="002B6BA8" w:rsidRDefault="00627FF3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</w:p>
    <w:p w14:paraId="01BC14DC" w14:textId="3FF445DC" w:rsidR="009A4880" w:rsidRPr="002B6BA8" w:rsidRDefault="009A4880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B6BA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1018 Trgovačka društva u vlasništvu općine Bibinje - </w:t>
      </w:r>
      <w:r w:rsidRPr="002B6BA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B6BA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99.542,10 eura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dok je u projekcij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ama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za 202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i 202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planiran iznos od 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92.905,96 eura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Namjena ovog programa je davanje kapitalnih pomoći trgovačkim društvima u suvlasništvu i vlasništvu Općine Bibinje. Trgovačko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m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društvu </w:t>
      </w:r>
      <w:proofErr w:type="spellStart"/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Bibinjac</w:t>
      </w:r>
      <w:proofErr w:type="spellEnd"/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 se kapitalna pomoć </w:t>
      </w:r>
      <w:r w:rsidR="00005F96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iznosu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46.452,98 eura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kao i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Odvodnji Bibinje Sukošan</w:t>
      </w:r>
      <w:r w:rsidR="00005F96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te subvencija od 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6.636,14 eura Odvodnji Bibinje Sukošan d.o.o.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</w:t>
      </w:r>
    </w:p>
    <w:p w14:paraId="02CD806B" w14:textId="1045CD51" w:rsidR="0017326E" w:rsidRDefault="00FE4C81" w:rsidP="00005F96">
      <w:pPr>
        <w:spacing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2B6BA8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Program 1019 Poljoprivreda - </w:t>
      </w:r>
      <w:r w:rsidRPr="002B6BA8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hr-HR"/>
        </w:rPr>
        <w:t>u</w:t>
      </w:r>
      <w:r w:rsidRPr="002B6BA8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hr-HR"/>
        </w:rPr>
        <w:t xml:space="preserve">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Proračunu za 202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godinu planiraju se 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sredstva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u  iznosu 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od 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42.471,30 eura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dok se u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projekcijama za 202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4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i 202</w:t>
      </w:r>
      <w:r w:rsid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5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. godinu</w:t>
      </w:r>
      <w:r w:rsidR="00EF340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planira iznos od 55.743,58 eura.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Namjena ovog programa je poticati obiteljska  poljoprivredna gospodarstva u iznosu </w:t>
      </w:r>
      <w:r w:rsidR="00EF340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13.272,28 eura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, održavanje i izgradnja poljskih puteva u iznosu </w:t>
      </w:r>
      <w:r w:rsidR="00EF340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26.544,56 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="00EF340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eura</w:t>
      </w:r>
      <w:r w:rsidR="000C05EB"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te istraživanje i bušenje bunara za vodu u iznosu </w:t>
      </w:r>
      <w:r w:rsidR="00EF340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2.654,46 eura. 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 Općina Bibinje u 202</w:t>
      </w:r>
      <w:r w:rsidR="00EF3401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3</w:t>
      </w:r>
      <w:r w:rsidRPr="002B6BA8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 xml:space="preserve">. godini raspisati će natječaj za davanje subvencija OPG-ovima na području Općine Bibinje.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1417"/>
        <w:gridCol w:w="1129"/>
      </w:tblGrid>
      <w:tr w:rsidR="00E21580" w14:paraId="3933B4F9" w14:textId="77777777" w:rsidTr="005D24DD">
        <w:tc>
          <w:tcPr>
            <w:tcW w:w="2830" w:type="dxa"/>
            <w:shd w:val="clear" w:color="auto" w:fill="DBE5F1" w:themeFill="accent1" w:themeFillTint="33"/>
          </w:tcPr>
          <w:p w14:paraId="6445AC6B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14:paraId="5FF4648E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DC273B4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Polazišna vrijednost</w:t>
            </w:r>
          </w:p>
        </w:tc>
        <w:tc>
          <w:tcPr>
            <w:tcW w:w="1129" w:type="dxa"/>
            <w:shd w:val="clear" w:color="auto" w:fill="DBE5F1" w:themeFill="accent1" w:themeFillTint="33"/>
          </w:tcPr>
          <w:p w14:paraId="67DD8B3E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</w:t>
            </w:r>
          </w:p>
        </w:tc>
      </w:tr>
      <w:tr w:rsidR="00E21580" w14:paraId="24129C86" w14:textId="77777777" w:rsidTr="00E21580">
        <w:tc>
          <w:tcPr>
            <w:tcW w:w="2830" w:type="dxa"/>
          </w:tcPr>
          <w:p w14:paraId="757A1AF7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10D0D">
              <w:rPr>
                <w:rFonts w:ascii="Times New Roman" w:hAnsi="Times New Roman" w:cs="Times New Roman"/>
              </w:rPr>
              <w:t>Poticanje razvoja OPG-ova</w:t>
            </w:r>
          </w:p>
        </w:tc>
        <w:tc>
          <w:tcPr>
            <w:tcW w:w="3686" w:type="dxa"/>
          </w:tcPr>
          <w:p w14:paraId="686964B2" w14:textId="77777777" w:rsidR="00E21580" w:rsidRDefault="00E21580" w:rsidP="005D24D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10D0D">
              <w:rPr>
                <w:rFonts w:ascii="Times New Roman" w:hAnsi="Times New Roman" w:cs="Times New Roman"/>
              </w:rPr>
              <w:t>Dodijeljene potpore OPG-ovima</w:t>
            </w:r>
          </w:p>
        </w:tc>
        <w:tc>
          <w:tcPr>
            <w:tcW w:w="1417" w:type="dxa"/>
          </w:tcPr>
          <w:p w14:paraId="2E490151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14:paraId="41C4558B" w14:textId="77777777" w:rsidR="00E21580" w:rsidRDefault="00E21580" w:rsidP="005D24D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14:paraId="60E24A35" w14:textId="77777777" w:rsidR="00E21580" w:rsidRPr="002B6BA8" w:rsidRDefault="00E21580" w:rsidP="00005F96">
      <w:pPr>
        <w:spacing w:line="24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14:paraId="3A6E088E" w14:textId="4B75D732" w:rsidR="00A73BE5" w:rsidRPr="002809B8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  <w:r w:rsidRPr="002809B8">
        <w:rPr>
          <w:rFonts w:ascii="Arial Narrow" w:hAnsi="Arial Narrow"/>
          <w:i/>
          <w:iCs/>
          <w:sz w:val="24"/>
          <w:szCs w:val="24"/>
        </w:rPr>
        <w:t xml:space="preserve">Zakonske i druge pravne osnove </w:t>
      </w:r>
    </w:p>
    <w:p w14:paraId="345C13F1" w14:textId="77777777" w:rsidR="0017326E" w:rsidRPr="002809B8" w:rsidRDefault="0017326E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14:paraId="2A4AF5CC" w14:textId="03F38A4E" w:rsidR="00A73BE5" w:rsidRPr="002809B8" w:rsidRDefault="00A73BE5" w:rsidP="00005F96">
      <w:pPr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  <w:lang w:eastAsia="hr-HR"/>
        </w:rPr>
      </w:pPr>
      <w:r w:rsidRPr="002809B8">
        <w:rPr>
          <w:rFonts w:ascii="Arial Narrow" w:hAnsi="Arial Narrow"/>
          <w:i/>
          <w:iCs/>
          <w:sz w:val="24"/>
          <w:szCs w:val="24"/>
          <w:lang w:eastAsia="hr-HR"/>
        </w:rPr>
        <w:t>Statut Općine Bibinje</w:t>
      </w:r>
      <w:r w:rsidR="000C05EB" w:rsidRPr="002809B8">
        <w:rPr>
          <w:rFonts w:ascii="Arial Narrow" w:hAnsi="Arial Narrow"/>
          <w:i/>
          <w:iCs/>
          <w:sz w:val="24"/>
          <w:szCs w:val="24"/>
          <w:lang w:eastAsia="hr-HR"/>
        </w:rPr>
        <w:t>, Program potpora poljoprivredi Općine Bibinje za razdoblje od 2021. do 2024. godine</w:t>
      </w:r>
      <w:r w:rsidR="001E6EDD" w:rsidRPr="002809B8">
        <w:rPr>
          <w:rFonts w:ascii="Arial Narrow" w:hAnsi="Arial Narrow"/>
          <w:i/>
          <w:iCs/>
          <w:sz w:val="24"/>
          <w:szCs w:val="24"/>
          <w:lang w:eastAsia="hr-HR"/>
        </w:rPr>
        <w:t xml:space="preserve"> </w:t>
      </w:r>
    </w:p>
    <w:p w14:paraId="18C44E28" w14:textId="77777777" w:rsidR="00A73BE5" w:rsidRPr="006B0B33" w:rsidRDefault="00A73BE5" w:rsidP="00F27200">
      <w:pPr>
        <w:rPr>
          <w:rFonts w:ascii="Arial Narrow" w:hAnsi="Arial Narrow"/>
          <w:b/>
          <w:i/>
          <w:iCs/>
          <w:color w:val="FF0000"/>
          <w:sz w:val="24"/>
          <w:szCs w:val="24"/>
          <w:lang w:eastAsia="hr-HR"/>
        </w:rPr>
      </w:pPr>
    </w:p>
    <w:p w14:paraId="3DF70D1A" w14:textId="77777777" w:rsidR="00F27200" w:rsidRPr="006B0B33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49BE7D9B" w14:textId="77777777" w:rsidR="00F27200" w:rsidRPr="006B0B33" w:rsidRDefault="00F27200" w:rsidP="00BE2CC8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01770116" w14:textId="77777777" w:rsidR="004375BA" w:rsidRPr="006B0B33" w:rsidRDefault="004375BA" w:rsidP="004375BA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FF0000"/>
          <w:sz w:val="24"/>
          <w:szCs w:val="24"/>
          <w:lang w:eastAsia="hr-HR"/>
        </w:rPr>
      </w:pPr>
    </w:p>
    <w:p w14:paraId="6DD66257" w14:textId="77777777" w:rsidR="00FE35BA" w:rsidRPr="006B0B33" w:rsidRDefault="00FE35BA">
      <w:pPr>
        <w:jc w:val="both"/>
        <w:rPr>
          <w:rFonts w:ascii="Arial Narrow" w:hAnsi="Arial Narrow"/>
          <w:i/>
          <w:iCs/>
          <w:color w:val="FF0000"/>
          <w:sz w:val="24"/>
          <w:szCs w:val="24"/>
        </w:rPr>
      </w:pPr>
    </w:p>
    <w:sectPr w:rsidR="00FE35BA" w:rsidRPr="006B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314D" w14:textId="77777777" w:rsidR="009A507F" w:rsidRDefault="009A507F" w:rsidP="00344D21">
      <w:pPr>
        <w:spacing w:after="0" w:line="240" w:lineRule="auto"/>
      </w:pPr>
      <w:r>
        <w:separator/>
      </w:r>
    </w:p>
  </w:endnote>
  <w:endnote w:type="continuationSeparator" w:id="0">
    <w:p w14:paraId="6C84D6D2" w14:textId="77777777" w:rsidR="009A507F" w:rsidRDefault="009A507F" w:rsidP="0034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B5AD0" w14:textId="77777777" w:rsidR="009A507F" w:rsidRDefault="009A507F" w:rsidP="00344D21">
      <w:pPr>
        <w:spacing w:after="0" w:line="240" w:lineRule="auto"/>
      </w:pPr>
      <w:r>
        <w:separator/>
      </w:r>
    </w:p>
  </w:footnote>
  <w:footnote w:type="continuationSeparator" w:id="0">
    <w:p w14:paraId="72DF8C70" w14:textId="77777777" w:rsidR="009A507F" w:rsidRDefault="009A507F" w:rsidP="00344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D13"/>
    <w:multiLevelType w:val="hybridMultilevel"/>
    <w:tmpl w:val="1EDC254E"/>
    <w:lvl w:ilvl="0" w:tplc="84BED9A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15F4"/>
    <w:multiLevelType w:val="hybridMultilevel"/>
    <w:tmpl w:val="969EB15C"/>
    <w:lvl w:ilvl="0" w:tplc="003EC49E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55440"/>
    <w:multiLevelType w:val="multilevel"/>
    <w:tmpl w:val="C5CC9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1A7C07"/>
    <w:multiLevelType w:val="hybridMultilevel"/>
    <w:tmpl w:val="FC2A73B4"/>
    <w:lvl w:ilvl="0" w:tplc="3E220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B1339"/>
    <w:multiLevelType w:val="hybridMultilevel"/>
    <w:tmpl w:val="90E66DA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5A"/>
    <w:rsid w:val="00005F96"/>
    <w:rsid w:val="00007E32"/>
    <w:rsid w:val="0001067B"/>
    <w:rsid w:val="00020366"/>
    <w:rsid w:val="00025B91"/>
    <w:rsid w:val="000301B1"/>
    <w:rsid w:val="0003224A"/>
    <w:rsid w:val="00033A93"/>
    <w:rsid w:val="000358B3"/>
    <w:rsid w:val="000536AA"/>
    <w:rsid w:val="0006064B"/>
    <w:rsid w:val="0006748A"/>
    <w:rsid w:val="000748D2"/>
    <w:rsid w:val="000C05EB"/>
    <w:rsid w:val="000C0F9E"/>
    <w:rsid w:val="000C4FF0"/>
    <w:rsid w:val="000E27A7"/>
    <w:rsid w:val="001371BF"/>
    <w:rsid w:val="00144FCE"/>
    <w:rsid w:val="00146B3F"/>
    <w:rsid w:val="001720B0"/>
    <w:rsid w:val="0017326E"/>
    <w:rsid w:val="001975D0"/>
    <w:rsid w:val="001B00A3"/>
    <w:rsid w:val="001B290D"/>
    <w:rsid w:val="001B4A19"/>
    <w:rsid w:val="001B790B"/>
    <w:rsid w:val="001C1953"/>
    <w:rsid w:val="001C5A85"/>
    <w:rsid w:val="001D3083"/>
    <w:rsid w:val="001E63EA"/>
    <w:rsid w:val="001E6EDD"/>
    <w:rsid w:val="001F6C48"/>
    <w:rsid w:val="00205C26"/>
    <w:rsid w:val="00217908"/>
    <w:rsid w:val="0022370A"/>
    <w:rsid w:val="00225FCD"/>
    <w:rsid w:val="00232E73"/>
    <w:rsid w:val="00270504"/>
    <w:rsid w:val="002809B8"/>
    <w:rsid w:val="00284AAE"/>
    <w:rsid w:val="00285096"/>
    <w:rsid w:val="00287886"/>
    <w:rsid w:val="002B22D5"/>
    <w:rsid w:val="002B6599"/>
    <w:rsid w:val="002B6BA8"/>
    <w:rsid w:val="002C04EB"/>
    <w:rsid w:val="002C4F6A"/>
    <w:rsid w:val="002C5C43"/>
    <w:rsid w:val="002C6C7E"/>
    <w:rsid w:val="002D2CD7"/>
    <w:rsid w:val="00310689"/>
    <w:rsid w:val="003204AF"/>
    <w:rsid w:val="00331368"/>
    <w:rsid w:val="003420F3"/>
    <w:rsid w:val="00344D21"/>
    <w:rsid w:val="00357FD9"/>
    <w:rsid w:val="00360AC8"/>
    <w:rsid w:val="0036108F"/>
    <w:rsid w:val="003719D9"/>
    <w:rsid w:val="003755B1"/>
    <w:rsid w:val="00381F23"/>
    <w:rsid w:val="0038207E"/>
    <w:rsid w:val="00384020"/>
    <w:rsid w:val="003C56F6"/>
    <w:rsid w:val="003D6E79"/>
    <w:rsid w:val="003E3B9F"/>
    <w:rsid w:val="003E490B"/>
    <w:rsid w:val="003F0B05"/>
    <w:rsid w:val="003F26EF"/>
    <w:rsid w:val="00404700"/>
    <w:rsid w:val="004364CB"/>
    <w:rsid w:val="004375BA"/>
    <w:rsid w:val="00443956"/>
    <w:rsid w:val="00444509"/>
    <w:rsid w:val="00445CE3"/>
    <w:rsid w:val="004479AF"/>
    <w:rsid w:val="00475B22"/>
    <w:rsid w:val="0049293F"/>
    <w:rsid w:val="00492FF2"/>
    <w:rsid w:val="0049450D"/>
    <w:rsid w:val="004A0F4B"/>
    <w:rsid w:val="004D007B"/>
    <w:rsid w:val="004D1619"/>
    <w:rsid w:val="004D26E0"/>
    <w:rsid w:val="004D5E4A"/>
    <w:rsid w:val="004E5351"/>
    <w:rsid w:val="004F0F43"/>
    <w:rsid w:val="00505321"/>
    <w:rsid w:val="005207E9"/>
    <w:rsid w:val="0054191C"/>
    <w:rsid w:val="00552C4C"/>
    <w:rsid w:val="00556EE3"/>
    <w:rsid w:val="00561E23"/>
    <w:rsid w:val="00564D4C"/>
    <w:rsid w:val="0057133F"/>
    <w:rsid w:val="00572D07"/>
    <w:rsid w:val="005759AF"/>
    <w:rsid w:val="00580BB2"/>
    <w:rsid w:val="00596FAE"/>
    <w:rsid w:val="005B2A65"/>
    <w:rsid w:val="005C3ADE"/>
    <w:rsid w:val="005D4229"/>
    <w:rsid w:val="005E69D4"/>
    <w:rsid w:val="005E72C9"/>
    <w:rsid w:val="005E7F85"/>
    <w:rsid w:val="00611253"/>
    <w:rsid w:val="00613439"/>
    <w:rsid w:val="00627FF3"/>
    <w:rsid w:val="006330EC"/>
    <w:rsid w:val="0063416B"/>
    <w:rsid w:val="00637150"/>
    <w:rsid w:val="006404EA"/>
    <w:rsid w:val="006524E4"/>
    <w:rsid w:val="00675057"/>
    <w:rsid w:val="00677599"/>
    <w:rsid w:val="006901FB"/>
    <w:rsid w:val="006941DA"/>
    <w:rsid w:val="006A224F"/>
    <w:rsid w:val="006A3E4B"/>
    <w:rsid w:val="006A783E"/>
    <w:rsid w:val="006B0B33"/>
    <w:rsid w:val="006C39D9"/>
    <w:rsid w:val="006E2159"/>
    <w:rsid w:val="006E229F"/>
    <w:rsid w:val="00722E07"/>
    <w:rsid w:val="007238CE"/>
    <w:rsid w:val="00726B37"/>
    <w:rsid w:val="00732D11"/>
    <w:rsid w:val="00736959"/>
    <w:rsid w:val="00741D68"/>
    <w:rsid w:val="00766636"/>
    <w:rsid w:val="007754D3"/>
    <w:rsid w:val="0078715A"/>
    <w:rsid w:val="0079287B"/>
    <w:rsid w:val="007A7AB5"/>
    <w:rsid w:val="007B51FF"/>
    <w:rsid w:val="007B5D94"/>
    <w:rsid w:val="007D15CE"/>
    <w:rsid w:val="007F4DB1"/>
    <w:rsid w:val="00800F9F"/>
    <w:rsid w:val="00804EAC"/>
    <w:rsid w:val="008170C6"/>
    <w:rsid w:val="00833488"/>
    <w:rsid w:val="00876F98"/>
    <w:rsid w:val="0087785B"/>
    <w:rsid w:val="00882309"/>
    <w:rsid w:val="00883A1D"/>
    <w:rsid w:val="008A5C80"/>
    <w:rsid w:val="008B2E70"/>
    <w:rsid w:val="008C5CC1"/>
    <w:rsid w:val="008D78FA"/>
    <w:rsid w:val="008F5AFD"/>
    <w:rsid w:val="009405C8"/>
    <w:rsid w:val="0094626A"/>
    <w:rsid w:val="00955EEB"/>
    <w:rsid w:val="00956A13"/>
    <w:rsid w:val="009661B6"/>
    <w:rsid w:val="009744D6"/>
    <w:rsid w:val="009751C8"/>
    <w:rsid w:val="00975AE4"/>
    <w:rsid w:val="009766D2"/>
    <w:rsid w:val="009A0026"/>
    <w:rsid w:val="009A0A63"/>
    <w:rsid w:val="009A11D7"/>
    <w:rsid w:val="009A4880"/>
    <w:rsid w:val="009A507F"/>
    <w:rsid w:val="009B20C7"/>
    <w:rsid w:val="009B59B6"/>
    <w:rsid w:val="009D361B"/>
    <w:rsid w:val="009D4425"/>
    <w:rsid w:val="009E6326"/>
    <w:rsid w:val="009E7C8D"/>
    <w:rsid w:val="009F4A64"/>
    <w:rsid w:val="00A103EA"/>
    <w:rsid w:val="00A10DD0"/>
    <w:rsid w:val="00A17734"/>
    <w:rsid w:val="00A30DF8"/>
    <w:rsid w:val="00A448E8"/>
    <w:rsid w:val="00A568E9"/>
    <w:rsid w:val="00A6126E"/>
    <w:rsid w:val="00A63894"/>
    <w:rsid w:val="00A63DC2"/>
    <w:rsid w:val="00A71128"/>
    <w:rsid w:val="00A72A4A"/>
    <w:rsid w:val="00A73BE5"/>
    <w:rsid w:val="00A762C1"/>
    <w:rsid w:val="00A84453"/>
    <w:rsid w:val="00A8679A"/>
    <w:rsid w:val="00AA636D"/>
    <w:rsid w:val="00AB04A1"/>
    <w:rsid w:val="00AB6AD6"/>
    <w:rsid w:val="00AC013F"/>
    <w:rsid w:val="00AC40E2"/>
    <w:rsid w:val="00AC7905"/>
    <w:rsid w:val="00AE23EE"/>
    <w:rsid w:val="00AE30F4"/>
    <w:rsid w:val="00AF7218"/>
    <w:rsid w:val="00B022B4"/>
    <w:rsid w:val="00B15D9D"/>
    <w:rsid w:val="00B3351B"/>
    <w:rsid w:val="00B540E0"/>
    <w:rsid w:val="00B569ED"/>
    <w:rsid w:val="00B7627C"/>
    <w:rsid w:val="00B7759D"/>
    <w:rsid w:val="00B8353E"/>
    <w:rsid w:val="00BC0377"/>
    <w:rsid w:val="00BC1088"/>
    <w:rsid w:val="00BC6344"/>
    <w:rsid w:val="00BC7DE0"/>
    <w:rsid w:val="00BE2CC8"/>
    <w:rsid w:val="00C110FD"/>
    <w:rsid w:val="00C138A3"/>
    <w:rsid w:val="00C17C32"/>
    <w:rsid w:val="00C25553"/>
    <w:rsid w:val="00C35E9C"/>
    <w:rsid w:val="00C64C93"/>
    <w:rsid w:val="00C82969"/>
    <w:rsid w:val="00C84044"/>
    <w:rsid w:val="00CC07CF"/>
    <w:rsid w:val="00CD28BA"/>
    <w:rsid w:val="00CD3B9E"/>
    <w:rsid w:val="00CD769E"/>
    <w:rsid w:val="00CE54F2"/>
    <w:rsid w:val="00D03B2B"/>
    <w:rsid w:val="00D17EB0"/>
    <w:rsid w:val="00D30CB5"/>
    <w:rsid w:val="00D55152"/>
    <w:rsid w:val="00D557A0"/>
    <w:rsid w:val="00D6328F"/>
    <w:rsid w:val="00D83CF7"/>
    <w:rsid w:val="00D86F67"/>
    <w:rsid w:val="00D97EC4"/>
    <w:rsid w:val="00DA639A"/>
    <w:rsid w:val="00DC100A"/>
    <w:rsid w:val="00DD6CDA"/>
    <w:rsid w:val="00E025F2"/>
    <w:rsid w:val="00E20939"/>
    <w:rsid w:val="00E21580"/>
    <w:rsid w:val="00E264B1"/>
    <w:rsid w:val="00E26DE8"/>
    <w:rsid w:val="00E306CE"/>
    <w:rsid w:val="00E4734A"/>
    <w:rsid w:val="00E62078"/>
    <w:rsid w:val="00E66A5D"/>
    <w:rsid w:val="00E84819"/>
    <w:rsid w:val="00EA647A"/>
    <w:rsid w:val="00EA7877"/>
    <w:rsid w:val="00EB6D7B"/>
    <w:rsid w:val="00EE0130"/>
    <w:rsid w:val="00EE4046"/>
    <w:rsid w:val="00EE61B6"/>
    <w:rsid w:val="00EF3401"/>
    <w:rsid w:val="00F00D01"/>
    <w:rsid w:val="00F06060"/>
    <w:rsid w:val="00F10BC9"/>
    <w:rsid w:val="00F20058"/>
    <w:rsid w:val="00F25E1A"/>
    <w:rsid w:val="00F27200"/>
    <w:rsid w:val="00F27334"/>
    <w:rsid w:val="00F3382F"/>
    <w:rsid w:val="00F37DC9"/>
    <w:rsid w:val="00F4182F"/>
    <w:rsid w:val="00F47E20"/>
    <w:rsid w:val="00F559FD"/>
    <w:rsid w:val="00F56B98"/>
    <w:rsid w:val="00F75E5F"/>
    <w:rsid w:val="00F77740"/>
    <w:rsid w:val="00F917AD"/>
    <w:rsid w:val="00F945AD"/>
    <w:rsid w:val="00F958B6"/>
    <w:rsid w:val="00F95E63"/>
    <w:rsid w:val="00FA5919"/>
    <w:rsid w:val="00FB3B2E"/>
    <w:rsid w:val="00FB4A5C"/>
    <w:rsid w:val="00FD6DFA"/>
    <w:rsid w:val="00FD7B2A"/>
    <w:rsid w:val="00FE35BA"/>
    <w:rsid w:val="00FE3F4D"/>
    <w:rsid w:val="00FE4C81"/>
    <w:rsid w:val="00FF5041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DB6D"/>
  <w15:docId w15:val="{F95B35B9-C9B5-468A-9EE9-0E4CA632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1580"/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F27200"/>
    <w:pPr>
      <w:keepNext/>
      <w:tabs>
        <w:tab w:val="center" w:pos="1559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Char">
    <w:name w:val="Naslov 8 Char"/>
    <w:basedOn w:val="Zadanifontodlomka"/>
    <w:link w:val="Naslov8"/>
    <w:uiPriority w:val="99"/>
    <w:rsid w:val="00F2720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7E2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4D21"/>
  </w:style>
  <w:style w:type="paragraph" w:styleId="Podnoje">
    <w:name w:val="footer"/>
    <w:basedOn w:val="Normal"/>
    <w:link w:val="PodnojeChar"/>
    <w:uiPriority w:val="99"/>
    <w:unhideWhenUsed/>
    <w:rsid w:val="0034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D21"/>
  </w:style>
  <w:style w:type="character" w:styleId="Istaknuto">
    <w:name w:val="Emphasis"/>
    <w:uiPriority w:val="20"/>
    <w:qFormat/>
    <w:rsid w:val="00F3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78DA6-05DF-47A2-B1A8-212D4FD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21</Pages>
  <Words>9404</Words>
  <Characters>53608</Characters>
  <Application>Microsoft Office Word</Application>
  <DocSecurity>0</DocSecurity>
  <Lines>446</Lines>
  <Paragraphs>125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Kresimir</cp:lastModifiedBy>
  <cp:revision>65</cp:revision>
  <dcterms:created xsi:type="dcterms:W3CDTF">2020-12-14T18:28:00Z</dcterms:created>
  <dcterms:modified xsi:type="dcterms:W3CDTF">2022-11-17T13:42:00Z</dcterms:modified>
</cp:coreProperties>
</file>